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34CB" w14:textId="2CB5396F" w:rsidR="00024184" w:rsidRPr="001E2C8A" w:rsidRDefault="00024184" w:rsidP="001E2C8A">
      <w:pPr>
        <w:pStyle w:val="ae"/>
        <w:jc w:val="center"/>
        <w:rPr>
          <w:sz w:val="52"/>
        </w:rPr>
      </w:pPr>
      <w:r w:rsidRPr="001E2C8A">
        <w:rPr>
          <w:sz w:val="52"/>
        </w:rPr>
        <w:t xml:space="preserve">Δημόσια </w:t>
      </w:r>
      <w:r w:rsidR="001340AB" w:rsidRPr="001E2C8A">
        <w:rPr>
          <w:sz w:val="52"/>
        </w:rPr>
        <w:t>πρόσκλη</w:t>
      </w:r>
      <w:r w:rsidRPr="001E2C8A">
        <w:rPr>
          <w:sz w:val="52"/>
        </w:rPr>
        <w:t xml:space="preserve">ση για τη χαρτογράφηση των ιδιωτικών επενδυτικών σχεδίων σε </w:t>
      </w:r>
      <w:r w:rsidR="003507F4" w:rsidRPr="001E2C8A">
        <w:rPr>
          <w:sz w:val="52"/>
        </w:rPr>
        <w:t xml:space="preserve">δίκτυα </w:t>
      </w:r>
      <w:r w:rsidRPr="001E2C8A">
        <w:rPr>
          <w:sz w:val="52"/>
        </w:rPr>
        <w:t>NGA</w:t>
      </w:r>
    </w:p>
    <w:p w14:paraId="30ECFE0E" w14:textId="77777777" w:rsidR="00024184" w:rsidRDefault="00024184" w:rsidP="00CB21A9"/>
    <w:p w14:paraId="0EDB1C4E" w14:textId="77777777" w:rsidR="00D40476" w:rsidRPr="001842DC" w:rsidRDefault="00D40476" w:rsidP="00CB21A9">
      <w:pPr>
        <w:pStyle w:val="1"/>
      </w:pPr>
      <w:r w:rsidRPr="001842DC">
        <w:t>Εισαγωγή</w:t>
      </w:r>
    </w:p>
    <w:p w14:paraId="06D99F2D" w14:textId="00FFE4EF" w:rsidR="00D40476" w:rsidRPr="003507F4" w:rsidRDefault="00D40476" w:rsidP="00CB21A9">
      <w:r w:rsidRPr="001842DC">
        <w:t xml:space="preserve">Η Γενική Γραμματεία Τηλεπικοινωνιών και Ταχυδρομείων του Υπουργείου Ψηφιακής </w:t>
      </w:r>
      <w:r w:rsidR="00AA3B6C">
        <w:t>Διακυβέρνησης</w:t>
      </w:r>
      <w:r w:rsidRPr="001842DC">
        <w:t xml:space="preserve"> </w:t>
      </w:r>
      <w:proofErr w:type="spellStart"/>
      <w:r w:rsidR="003507F4">
        <w:t>στ</w:t>
      </w:r>
      <w:proofErr w:type="spellEnd"/>
      <w:r w:rsidR="0074336D">
        <w:rPr>
          <w:lang w:val="en-US"/>
        </w:rPr>
        <w:t>o</w:t>
      </w:r>
      <w:r w:rsidR="003507F4">
        <w:t xml:space="preserve"> </w:t>
      </w:r>
      <w:proofErr w:type="spellStart"/>
      <w:r w:rsidR="003507F4">
        <w:t>πλαίσι</w:t>
      </w:r>
      <w:proofErr w:type="spellEnd"/>
      <w:r w:rsidR="0074336D">
        <w:rPr>
          <w:lang w:val="en-US"/>
        </w:rPr>
        <w:t>o</w:t>
      </w:r>
      <w:r w:rsidR="003507F4">
        <w:t xml:space="preserve"> της </w:t>
      </w:r>
      <w:proofErr w:type="spellStart"/>
      <w:r w:rsidR="003507F4">
        <w:t>επικαιροποίησης</w:t>
      </w:r>
      <w:proofErr w:type="spellEnd"/>
      <w:r w:rsidR="003507F4">
        <w:t xml:space="preserve"> του Εθνικού </w:t>
      </w:r>
      <w:proofErr w:type="spellStart"/>
      <w:r w:rsidR="003507F4">
        <w:t>Ευρυζωνικού</w:t>
      </w:r>
      <w:proofErr w:type="spellEnd"/>
      <w:r w:rsidR="003507F4">
        <w:t xml:space="preserve"> </w:t>
      </w:r>
      <w:r w:rsidR="00AA3B6C">
        <w:t>Πλάνου</w:t>
      </w:r>
      <w:r w:rsidR="003507F4">
        <w:t xml:space="preserve"> για την προγραμματική περίοδο 2021-2027, προτίθεται να προχωρήσει σε χαρτογράφηση των ιδιωτικών επενδυτικών σχεδίων σε δίκτυα NGA.</w:t>
      </w:r>
    </w:p>
    <w:p w14:paraId="418F43D8" w14:textId="06CDCD86" w:rsidR="00467E43" w:rsidRDefault="00467E43" w:rsidP="00CB21A9">
      <w:r>
        <w:t>Η διαδικασία χαρτογράφησης είναι απαραίτητη π</w:t>
      </w:r>
      <w:r w:rsidR="003507F4">
        <w:t>ροκειμένου να προσδιοριστούν οι ανάγκες δημόσιας παρέμβασης</w:t>
      </w:r>
      <w:r w:rsidR="00AA3B6C">
        <w:t xml:space="preserve"> και </w:t>
      </w:r>
      <w:r w:rsidR="0010607B">
        <w:t>να αξιολογηθεί</w:t>
      </w:r>
      <w:r w:rsidR="00AA3B6C">
        <w:t xml:space="preserve"> το</w:t>
      </w:r>
      <w:r w:rsidR="0010607B">
        <w:t xml:space="preserve"> επενδυτικό κενό</w:t>
      </w:r>
      <w:r w:rsidR="00AA3B6C">
        <w:t xml:space="preserve"> </w:t>
      </w:r>
      <w:r w:rsidR="0010607B">
        <w:t xml:space="preserve">που </w:t>
      </w:r>
      <w:r w:rsidR="00AA3B6C">
        <w:t xml:space="preserve">πρέπει να αντιμετωπιστεί ώστε να επιτευχθούν οι στόχοι συνδεσιμότητας </w:t>
      </w:r>
      <w:r w:rsidR="0010607B">
        <w:t>που τίθενται στις σχετικές στρατηγικές της ΕΕ «</w:t>
      </w:r>
      <w:r w:rsidR="0010607B" w:rsidRPr="0010607B">
        <w:t xml:space="preserve">Προς μια ευρωπαϊκή κοινωνία των </w:t>
      </w:r>
      <w:proofErr w:type="spellStart"/>
      <w:r w:rsidR="0010607B" w:rsidRPr="0010607B">
        <w:t>Gigabit</w:t>
      </w:r>
      <w:proofErr w:type="spellEnd"/>
      <w:r w:rsidR="0010607B">
        <w:t>»</w:t>
      </w:r>
      <w:r w:rsidR="00AA3B6C">
        <w:rPr>
          <w:rStyle w:val="a8"/>
        </w:rPr>
        <w:footnoteReference w:id="1"/>
      </w:r>
      <w:r w:rsidR="00AA3B6C" w:rsidRPr="00467E43">
        <w:t xml:space="preserve"> </w:t>
      </w:r>
      <w:r w:rsidR="0010607B">
        <w:t>και «</w:t>
      </w:r>
      <w:r w:rsidR="0010607B" w:rsidRPr="0010607B">
        <w:t>Ψηφιακή πυξίδα:</w:t>
      </w:r>
      <w:r w:rsidR="0010607B">
        <w:t xml:space="preserve"> </w:t>
      </w:r>
      <w:r w:rsidR="0010607B" w:rsidRPr="0010607B">
        <w:t>ο ευρωπαϊκός τρόπος για την ψηφιακή δεκαετία</w:t>
      </w:r>
      <w:r w:rsidR="0010607B">
        <w:t>»</w:t>
      </w:r>
      <w:r w:rsidR="0010607B">
        <w:rPr>
          <w:rStyle w:val="a8"/>
        </w:rPr>
        <w:footnoteReference w:id="2"/>
      </w:r>
      <w:r w:rsidR="0010607B">
        <w:t xml:space="preserve">. Ταυτόχρονα, η διαδικασία αυτή </w:t>
      </w:r>
      <w:r w:rsidR="00A340C1">
        <w:t xml:space="preserve">αποτελεί </w:t>
      </w:r>
      <w:proofErr w:type="spellStart"/>
      <w:r w:rsidR="00A340C1">
        <w:t>προαπαιτούμενο</w:t>
      </w:r>
      <w:proofErr w:type="spellEnd"/>
      <w:r w:rsidR="00A340C1">
        <w:t xml:space="preserve"> για</w:t>
      </w:r>
      <w:r w:rsidR="0010607B">
        <w:t xml:space="preserve"> τ</w:t>
      </w:r>
      <w:r w:rsidR="003507F4">
        <w:t>η συμβατότητ</w:t>
      </w:r>
      <w:r>
        <w:t xml:space="preserve">α των </w:t>
      </w:r>
      <w:r w:rsidR="0010607B">
        <w:t xml:space="preserve">τυχόν </w:t>
      </w:r>
      <w:r>
        <w:t xml:space="preserve">παρεμβάσεων </w:t>
      </w:r>
      <w:r w:rsidR="00A340C1">
        <w:t>με τους κανόνες περί κρατικών ενισχύσεων.</w:t>
      </w:r>
    </w:p>
    <w:p w14:paraId="65BC35B8" w14:textId="47D81651" w:rsidR="001842DC" w:rsidRDefault="00467E43" w:rsidP="00CB21A9">
      <w:r>
        <w:t xml:space="preserve">Ο στόχος της χαρτογράφησης είναι </w:t>
      </w:r>
      <w:r w:rsidR="001842DC" w:rsidRPr="001842DC">
        <w:t xml:space="preserve">να προσδιοριστεί η παρούσα κατάσταση </w:t>
      </w:r>
      <w:proofErr w:type="spellStart"/>
      <w:r w:rsidR="001842DC" w:rsidRPr="001842DC">
        <w:t>ευρυζωνικής</w:t>
      </w:r>
      <w:proofErr w:type="spellEnd"/>
      <w:r w:rsidR="001842DC" w:rsidRPr="001842DC">
        <w:t xml:space="preserve"> κάλυψης κάθε συγκεκριμένης περιοχής </w:t>
      </w:r>
      <w:r w:rsidR="001842DC" w:rsidRPr="00A340C1">
        <w:t xml:space="preserve">(καθώς και της κατάστασης στο </w:t>
      </w:r>
      <w:r w:rsidR="00CB21A9" w:rsidRPr="00CB21A9">
        <w:t>εγγύς μέλλον</w:t>
      </w:r>
      <w:r w:rsidR="001842DC" w:rsidRPr="00A340C1">
        <w:rPr>
          <w:i/>
        </w:rPr>
        <w:t xml:space="preserve"> </w:t>
      </w:r>
      <w:r w:rsidR="001842DC" w:rsidRPr="00A340C1">
        <w:t xml:space="preserve">έτσι όπως πρόκειται να διαμορφωθεί χωρίς </w:t>
      </w:r>
      <w:r w:rsidR="003507F4" w:rsidRPr="00A340C1">
        <w:t xml:space="preserve">τις </w:t>
      </w:r>
      <w:r w:rsidR="00A340C1" w:rsidRPr="00A340C1">
        <w:t xml:space="preserve">τυχόν νέες </w:t>
      </w:r>
      <w:r w:rsidR="003507F4" w:rsidRPr="00A340C1">
        <w:t>δημόσιες παρεμβάσεις</w:t>
      </w:r>
      <w:r w:rsidR="001842DC" w:rsidRPr="00A340C1">
        <w:t>)</w:t>
      </w:r>
      <w:r w:rsidR="00A340C1" w:rsidRPr="00A340C1">
        <w:t>.</w:t>
      </w:r>
      <w:r w:rsidR="001842DC" w:rsidRPr="00A340C1">
        <w:t xml:space="preserve"> Το χρονικό εύρος των ιδιωτικών επεν</w:t>
      </w:r>
      <w:r w:rsidR="001842DC" w:rsidRPr="001842DC">
        <w:t xml:space="preserve">δυτικών σχεδίων για το οποίο ζητούνται πληροφορίες στο πλαίσιο της δημόσιας </w:t>
      </w:r>
      <w:r w:rsidR="001340AB">
        <w:t>πρόκλησης</w:t>
      </w:r>
      <w:r w:rsidR="005A79A1">
        <w:t xml:space="preserve"> </w:t>
      </w:r>
      <w:r w:rsidR="001340AB">
        <w:t xml:space="preserve">(ΔΠ) </w:t>
      </w:r>
      <w:r w:rsidR="001842DC" w:rsidRPr="001842DC">
        <w:t xml:space="preserve">καθορίζεται </w:t>
      </w:r>
      <w:r w:rsidR="00CF1014">
        <w:t xml:space="preserve">έως το τέλος </w:t>
      </w:r>
      <w:r w:rsidR="00CF1014" w:rsidRPr="00A340C1">
        <w:t>του 202</w:t>
      </w:r>
      <w:r w:rsidR="00AA3B6C" w:rsidRPr="00A340C1">
        <w:t>5</w:t>
      </w:r>
      <w:r w:rsidR="001842DC" w:rsidRPr="00A340C1">
        <w:t>.</w:t>
      </w:r>
      <w:r w:rsidR="00A45FB2">
        <w:t xml:space="preserve"> </w:t>
      </w:r>
      <w:r w:rsidR="00A45FB2" w:rsidRPr="00591F65">
        <w:rPr>
          <w:b/>
        </w:rPr>
        <w:t xml:space="preserve">Τονίζεται </w:t>
      </w:r>
      <w:r w:rsidR="00591F65" w:rsidRPr="00591F65">
        <w:rPr>
          <w:b/>
        </w:rPr>
        <w:t xml:space="preserve">ότι </w:t>
      </w:r>
      <w:r w:rsidR="00A45FB2" w:rsidRPr="00591F65">
        <w:rPr>
          <w:b/>
        </w:rPr>
        <w:t xml:space="preserve">στο αντικείμενο της </w:t>
      </w:r>
      <w:r w:rsidR="001340AB">
        <w:rPr>
          <w:b/>
        </w:rPr>
        <w:t>ΔΠ</w:t>
      </w:r>
      <w:r w:rsidR="005A79A1">
        <w:rPr>
          <w:b/>
        </w:rPr>
        <w:t xml:space="preserve"> </w:t>
      </w:r>
      <w:r w:rsidR="00A45FB2" w:rsidRPr="00591F65">
        <w:rPr>
          <w:b/>
        </w:rPr>
        <w:t xml:space="preserve">εμπίπτουν </w:t>
      </w:r>
      <w:r w:rsidR="00591F65" w:rsidRPr="00591F65">
        <w:rPr>
          <w:b/>
        </w:rPr>
        <w:t xml:space="preserve">μόνο </w:t>
      </w:r>
      <w:r w:rsidR="00A45FB2" w:rsidRPr="00591F65">
        <w:rPr>
          <w:b/>
        </w:rPr>
        <w:t>τα ιδιωτικά επενδυτικά σχέδια, αυτά δηλαδή που τυγχάνουν αμιγώς ιδιωτικής χρημα</w:t>
      </w:r>
      <w:r w:rsidR="00591F65" w:rsidRPr="00591F65">
        <w:rPr>
          <w:b/>
        </w:rPr>
        <w:t>τοδότησης</w:t>
      </w:r>
      <w:r w:rsidR="00CF1014">
        <w:rPr>
          <w:b/>
        </w:rPr>
        <w:t>,</w:t>
      </w:r>
      <w:r w:rsidR="00A340C1">
        <w:t xml:space="preserve"> προκειμένου </w:t>
      </w:r>
      <w:r w:rsidR="001340AB">
        <w:t xml:space="preserve">να </w:t>
      </w:r>
      <w:r w:rsidR="00591F65">
        <w:t>διασ</w:t>
      </w:r>
      <w:r w:rsidR="00CF1014">
        <w:t>φαλ</w:t>
      </w:r>
      <w:r w:rsidR="001340AB">
        <w:t xml:space="preserve">ισθεί </w:t>
      </w:r>
      <w:r w:rsidR="00CF1014">
        <w:t xml:space="preserve">ότι </w:t>
      </w:r>
      <w:r w:rsidR="00A340C1">
        <w:t>οι τυχόν νέες δημόσιες παρεμβάσεις δεν θα αποτελέσουν</w:t>
      </w:r>
      <w:r w:rsidR="00CF1014">
        <w:t xml:space="preserve"> </w:t>
      </w:r>
      <w:r w:rsidR="00591F65">
        <w:t xml:space="preserve">αιτία </w:t>
      </w:r>
      <w:r w:rsidR="00591F65" w:rsidRPr="00591F65">
        <w:t>στρέβλωση</w:t>
      </w:r>
      <w:r w:rsidR="00591F65">
        <w:t>ς του  ανταγωνισμού ή παραγκωνισμού των ιδιωτών επενδυτών.</w:t>
      </w:r>
      <w:r w:rsidR="001340AB">
        <w:t xml:space="preserve"> </w:t>
      </w:r>
      <w:r w:rsidR="001340AB" w:rsidRPr="00A340C1">
        <w:t>Διευκρινίζεται ότι οι περιοχές όπου υλοποιούνται (ή πρόκειται να υ</w:t>
      </w:r>
      <w:r w:rsidR="001340AB" w:rsidRPr="00CB21A9">
        <w:t>λοποιηθού</w:t>
      </w:r>
      <w:r w:rsidR="001340AB" w:rsidRPr="00A340C1">
        <w:t>ν έως το τέλος του 202</w:t>
      </w:r>
      <w:r w:rsidR="00AA3B6C" w:rsidRPr="00A340C1">
        <w:t>5</w:t>
      </w:r>
      <w:r w:rsidR="001340AB" w:rsidRPr="00A340C1">
        <w:t>) ιδιωτικά επενδυτικά σχέδια</w:t>
      </w:r>
      <w:r w:rsidR="003D3C78" w:rsidRPr="00A340C1">
        <w:t>,</w:t>
      </w:r>
      <w:r w:rsidR="001340AB" w:rsidRPr="00A340C1">
        <w:t xml:space="preserve"> </w:t>
      </w:r>
      <w:r w:rsidR="003D3C78" w:rsidRPr="00A340C1">
        <w:t xml:space="preserve">περιλαμβάνουν και αυτές όπου </w:t>
      </w:r>
      <w:r w:rsidR="001340AB" w:rsidRPr="00A340C1">
        <w:t xml:space="preserve">η ζήτηση </w:t>
      </w:r>
      <w:r w:rsidR="003D3C78" w:rsidRPr="00A340C1">
        <w:t xml:space="preserve">από πλευράς τελικών χρηστών </w:t>
      </w:r>
      <w:r w:rsidR="003D3C78" w:rsidRPr="00A340C1">
        <w:lastRenderedPageBreak/>
        <w:t xml:space="preserve">ενισχύεται μέσω του κουπονιού </w:t>
      </w:r>
      <w:proofErr w:type="spellStart"/>
      <w:r w:rsidR="003D3C78" w:rsidRPr="00A340C1">
        <w:t>SFBB_voucher</w:t>
      </w:r>
      <w:proofErr w:type="spellEnd"/>
      <w:r w:rsidR="003D3C78" w:rsidRPr="00A340C1">
        <w:t xml:space="preserve"> στο πλαίσιο του έργου </w:t>
      </w:r>
      <w:proofErr w:type="spellStart"/>
      <w:r w:rsidR="003D3C78" w:rsidRPr="00A340C1">
        <w:t>Superfast</w:t>
      </w:r>
      <w:proofErr w:type="spellEnd"/>
      <w:r w:rsidR="003D3C78" w:rsidRPr="00A340C1">
        <w:t xml:space="preserve"> </w:t>
      </w:r>
      <w:proofErr w:type="spellStart"/>
      <w:r w:rsidR="003D3C78" w:rsidRPr="00A340C1">
        <w:t>Broadband</w:t>
      </w:r>
      <w:proofErr w:type="spellEnd"/>
      <w:r w:rsidR="003D3C78" w:rsidRPr="00A340C1">
        <w:t>. Ο</w:t>
      </w:r>
      <w:r w:rsidR="003D3C78">
        <w:t xml:space="preserve">ι περιοχές αυτές θα πρέπει να υποβληθούν από τους </w:t>
      </w:r>
      <w:proofErr w:type="spellStart"/>
      <w:r w:rsidR="003D3C78">
        <w:t>παρόχους</w:t>
      </w:r>
      <w:proofErr w:type="spellEnd"/>
      <w:r w:rsidR="003D3C78">
        <w:t xml:space="preserve"> που αναπτύσσουν υποδομές στο πλαίσιο της παρούσας ΔΠ.  </w:t>
      </w:r>
      <w:r w:rsidR="00A45FB2" w:rsidRPr="00A45FB2">
        <w:t xml:space="preserve"> </w:t>
      </w:r>
      <w:r w:rsidR="00A45FB2">
        <w:t xml:space="preserve"> </w:t>
      </w:r>
    </w:p>
    <w:p w14:paraId="0065D2C7" w14:textId="77777777" w:rsidR="00114678" w:rsidRPr="00114678" w:rsidRDefault="00114678" w:rsidP="00CB21A9">
      <w:proofErr w:type="spellStart"/>
      <w:r>
        <w:t>T</w:t>
      </w:r>
      <w:r w:rsidRPr="00114678">
        <w:t>α</w:t>
      </w:r>
      <w:proofErr w:type="spellEnd"/>
      <w:r w:rsidRPr="00114678">
        <w:t xml:space="preserve"> στοιχεία </w:t>
      </w:r>
      <w:r>
        <w:t>που θα διατεθούν από τους συμμετέχοντες στη Δ</w:t>
      </w:r>
      <w:r w:rsidR="001340AB">
        <w:t>Π</w:t>
      </w:r>
      <w:r>
        <w:t xml:space="preserve"> θα τύχουν διαχείρισης ως </w:t>
      </w:r>
      <w:r w:rsidRPr="00114678">
        <w:t>εμπιστευτική πληροφορία</w:t>
      </w:r>
      <w:r>
        <w:t xml:space="preserve">, </w:t>
      </w:r>
      <w:r w:rsidRPr="00114678">
        <w:t xml:space="preserve">θα ληφθούν τα ενδεδειγμένα μέτρα για την προστασία του εμπιστευτικού τους χαρακτήρα και η χρήση-επεξεργασία τους θα γίνει αποκλειστικά για τους σκοπούς που αναφέρει η </w:t>
      </w:r>
      <w:r w:rsidR="005A79A1">
        <w:t>Δ</w:t>
      </w:r>
      <w:r w:rsidR="003D3C78">
        <w:t>Π</w:t>
      </w:r>
      <w:r w:rsidR="00CF1014">
        <w:t>.</w:t>
      </w:r>
    </w:p>
    <w:p w14:paraId="5D53C43A" w14:textId="1F12B682" w:rsidR="005A79A1" w:rsidRPr="001842DC" w:rsidRDefault="003554F8" w:rsidP="00CB21A9">
      <w:r w:rsidRPr="001842DC">
        <w:t>Ως ημε</w:t>
      </w:r>
      <w:r w:rsidRPr="001E2C8A">
        <w:t xml:space="preserve">ρομηνία έναρξης της </w:t>
      </w:r>
      <w:r w:rsidR="005A79A1" w:rsidRPr="001E2C8A">
        <w:t>Δ</w:t>
      </w:r>
      <w:r w:rsidR="003D3C78" w:rsidRPr="001E2C8A">
        <w:t>Π</w:t>
      </w:r>
      <w:r w:rsidR="005A79A1" w:rsidRPr="001E2C8A">
        <w:t xml:space="preserve"> </w:t>
      </w:r>
      <w:r w:rsidRPr="001E2C8A">
        <w:t xml:space="preserve">ορίζεται η </w:t>
      </w:r>
      <w:r w:rsidR="00C855B3">
        <w:t>26.5</w:t>
      </w:r>
      <w:r w:rsidR="0074336D" w:rsidRPr="00A91164">
        <w:t>.</w:t>
      </w:r>
      <w:r w:rsidR="00CF1014" w:rsidRPr="001E2C8A">
        <w:t>20</w:t>
      </w:r>
      <w:r w:rsidR="003507F4" w:rsidRPr="001E2C8A">
        <w:t>21</w:t>
      </w:r>
      <w:r w:rsidRPr="001E2C8A">
        <w:t xml:space="preserve"> και ως ημερομηνία λήξης η </w:t>
      </w:r>
      <w:r w:rsidR="00C855B3">
        <w:t>18</w:t>
      </w:r>
      <w:r w:rsidR="0074336D" w:rsidRPr="00A91164">
        <w:t>.06.</w:t>
      </w:r>
      <w:r w:rsidR="00CF1014" w:rsidRPr="001E2C8A">
        <w:t>20</w:t>
      </w:r>
      <w:r w:rsidR="003507F4" w:rsidRPr="001E2C8A">
        <w:t>21</w:t>
      </w:r>
      <w:r w:rsidRPr="001E2C8A">
        <w:t>.</w:t>
      </w:r>
    </w:p>
    <w:p w14:paraId="719BDE27" w14:textId="44CC812E" w:rsidR="003554F8" w:rsidRPr="00244B89" w:rsidRDefault="003554F8" w:rsidP="00CB21A9">
      <w:r w:rsidRPr="001842DC">
        <w:t xml:space="preserve">Κατά τη διάρκεια της </w:t>
      </w:r>
      <w:r w:rsidR="005A79A1">
        <w:t>Δ</w:t>
      </w:r>
      <w:r w:rsidR="003D3C78">
        <w:t>Π</w:t>
      </w:r>
      <w:r w:rsidRPr="001842DC">
        <w:t xml:space="preserve"> είναι δυνατό να παρέχονται από την ΓΓΤΤ διευκρινιστικές απαντήσεις σε ερωτήσεις των ενδιαφερομένων, οι οποίες πρέπει να υποβάλλονται επώνυμα, μόν</w:t>
      </w:r>
      <w:r w:rsidRPr="00CB21A9">
        <w:t xml:space="preserve">ο μέσω ηλεκτρονικού ταχυδρομείου </w:t>
      </w:r>
      <w:r w:rsidR="005C65C5" w:rsidRPr="00CB21A9">
        <w:t xml:space="preserve">στην ηλεκτρονική διεύθυνση </w:t>
      </w:r>
      <w:proofErr w:type="spellStart"/>
      <w:r w:rsidR="00A340C1" w:rsidRPr="00CB21A9">
        <w:t>ggtt@mindigital</w:t>
      </w:r>
      <w:proofErr w:type="spellEnd"/>
      <w:r w:rsidR="005C65C5" w:rsidRPr="00CB21A9">
        <w:t>.</w:t>
      </w:r>
      <w:r w:rsidR="0074336D" w:rsidRPr="00CB21A9" w:rsidDel="0074336D">
        <w:t xml:space="preserve"> </w:t>
      </w:r>
      <w:proofErr w:type="spellStart"/>
      <w:r w:rsidR="005C65C5" w:rsidRPr="00CB21A9">
        <w:t>gr</w:t>
      </w:r>
      <w:proofErr w:type="spellEnd"/>
      <w:r w:rsidR="005C65C5" w:rsidRPr="00CB21A9">
        <w:t>, αναγρ</w:t>
      </w:r>
      <w:r w:rsidR="005C65C5" w:rsidRPr="006F335F">
        <w:t>άφοντας στο θέμα του e-</w:t>
      </w:r>
      <w:proofErr w:type="spellStart"/>
      <w:r w:rsidR="005C65C5" w:rsidRPr="006F335F">
        <w:t>mail</w:t>
      </w:r>
      <w:proofErr w:type="spellEnd"/>
      <w:r w:rsidR="005C65C5" w:rsidRPr="006F335F">
        <w:t>: «</w:t>
      </w:r>
      <w:r w:rsidR="005C65C5" w:rsidRPr="00CF1014">
        <w:t>Δημόσια Διαβούλευση για τη χαρτογράφηση των ιδιωτικών επενδυτικών σχεδίων σε</w:t>
      </w:r>
      <w:r w:rsidR="003507F4">
        <w:t xml:space="preserve"> δίκτυα</w:t>
      </w:r>
      <w:r w:rsidR="005C65C5" w:rsidRPr="00CF1014">
        <w:t xml:space="preserve"> NGA για </w:t>
      </w:r>
      <w:r w:rsidR="003507F4">
        <w:t xml:space="preserve">την </w:t>
      </w:r>
      <w:proofErr w:type="spellStart"/>
      <w:r w:rsidR="003507F4">
        <w:t>επικαιροποίηση</w:t>
      </w:r>
      <w:proofErr w:type="spellEnd"/>
      <w:r w:rsidR="003507F4">
        <w:t xml:space="preserve"> του Εθνικού </w:t>
      </w:r>
      <w:proofErr w:type="spellStart"/>
      <w:r w:rsidR="003507F4">
        <w:t>Ευρυζωνικού</w:t>
      </w:r>
      <w:proofErr w:type="spellEnd"/>
      <w:r w:rsidR="003507F4">
        <w:t xml:space="preserve"> </w:t>
      </w:r>
      <w:r w:rsidR="00AA3B6C">
        <w:t>Πλάνου</w:t>
      </w:r>
      <w:r w:rsidR="005C65C5" w:rsidRPr="006F335F">
        <w:t>»</w:t>
      </w:r>
      <w:r w:rsidR="006F335F">
        <w:t>.</w:t>
      </w:r>
    </w:p>
    <w:p w14:paraId="03A67AC7" w14:textId="6D5C9EAD" w:rsidR="003554F8" w:rsidRPr="001842DC" w:rsidRDefault="003554F8" w:rsidP="00CB21A9">
      <w:r w:rsidRPr="001842DC">
        <w:t xml:space="preserve">Οι τελικές επίσημες θέσεις, παρατηρήσεις και δηλώσεις προθέσεων επένδυσης που αφορούν τα ανωτέρω </w:t>
      </w:r>
      <w:proofErr w:type="spellStart"/>
      <w:r w:rsidRPr="001842DC">
        <w:t>περιγραφέντα</w:t>
      </w:r>
      <w:proofErr w:type="spellEnd"/>
      <w:r w:rsidRPr="001842DC">
        <w:t xml:space="preserve"> ζητήματα της </w:t>
      </w:r>
      <w:r w:rsidR="005A79A1">
        <w:t>Δ</w:t>
      </w:r>
      <w:r w:rsidR="003D3C78">
        <w:t>Π</w:t>
      </w:r>
      <w:r w:rsidRPr="001842DC">
        <w:t xml:space="preserve">, </w:t>
      </w:r>
      <w:r w:rsidRPr="003D3C78">
        <w:t>θα πρέπει να κατατεθούν σε επεξεργάσιμη ηλεκτρονική μορφή</w:t>
      </w:r>
      <w:r w:rsidR="003D3C78" w:rsidRPr="003D3C78">
        <w:t xml:space="preserve">, καθώς και </w:t>
      </w:r>
      <w:r w:rsidR="001B5565">
        <w:t>σε φυσική μορφή</w:t>
      </w:r>
      <w:r w:rsidR="003D3C78" w:rsidRPr="003D3C78">
        <w:t xml:space="preserve">, </w:t>
      </w:r>
      <w:r w:rsidRPr="003D3C78">
        <w:t xml:space="preserve">μαζί με το αντίστοιχο συνοδευτικό - </w:t>
      </w:r>
      <w:proofErr w:type="spellStart"/>
      <w:r w:rsidRPr="003D3C78">
        <w:t>τεκμηριωτικό</w:t>
      </w:r>
      <w:proofErr w:type="spellEnd"/>
      <w:r w:rsidRPr="003D3C78">
        <w:t xml:space="preserve"> υλικό, εντός σφραγισμένου φακέλου μέχρι την καταληκτική ημερομηνία της </w:t>
      </w:r>
      <w:r w:rsidR="005A79A1" w:rsidRPr="003D3C78">
        <w:t>Δ</w:t>
      </w:r>
      <w:r w:rsidR="003D3C78">
        <w:t>Π</w:t>
      </w:r>
      <w:r w:rsidRPr="003D3C78">
        <w:t xml:space="preserve"> στην ΓΓΤΤ.</w:t>
      </w:r>
      <w:r w:rsidRPr="001842DC">
        <w:t xml:space="preserve"> Ο φάκελος θα πρέπει να αναγράφει εξωτερικά:</w:t>
      </w:r>
    </w:p>
    <w:p w14:paraId="24C0DA78" w14:textId="77777777" w:rsidR="003554F8" w:rsidRPr="001842DC" w:rsidRDefault="003554F8" w:rsidP="00CB21A9">
      <w:pPr>
        <w:pStyle w:val="a6"/>
        <w:numPr>
          <w:ilvl w:val="0"/>
          <w:numId w:val="26"/>
        </w:numPr>
      </w:pPr>
      <w:r w:rsidRPr="001842DC">
        <w:t xml:space="preserve">Τα πλήρη στοιχεία του </w:t>
      </w:r>
      <w:proofErr w:type="spellStart"/>
      <w:r w:rsidRPr="001842DC">
        <w:t>παρόχου</w:t>
      </w:r>
      <w:proofErr w:type="spellEnd"/>
      <w:r w:rsidRPr="001842DC">
        <w:t>.</w:t>
      </w:r>
    </w:p>
    <w:p w14:paraId="1589ED96" w14:textId="5CB9AE55" w:rsidR="003554F8" w:rsidRPr="003D3C78" w:rsidRDefault="003554F8" w:rsidP="00CB21A9">
      <w:pPr>
        <w:pStyle w:val="a6"/>
        <w:numPr>
          <w:ilvl w:val="0"/>
          <w:numId w:val="26"/>
        </w:numPr>
      </w:pPr>
      <w:r w:rsidRPr="001842DC">
        <w:t>Την ένδειξη “</w:t>
      </w:r>
      <w:r w:rsidR="00AA3B6C" w:rsidRPr="00CF1014">
        <w:t>Δημόσια Διαβούλευση για τη χαρτογράφηση των ιδιωτικών επενδυτικών σχεδίων σε</w:t>
      </w:r>
      <w:r w:rsidR="00AA3B6C">
        <w:t xml:space="preserve"> δίκτυα</w:t>
      </w:r>
      <w:r w:rsidR="00AA3B6C" w:rsidRPr="00CF1014">
        <w:t xml:space="preserve"> NGA για </w:t>
      </w:r>
      <w:r w:rsidR="00AA3B6C">
        <w:t xml:space="preserve">την </w:t>
      </w:r>
      <w:proofErr w:type="spellStart"/>
      <w:r w:rsidR="00AA3B6C">
        <w:t>επικαιροποίηση</w:t>
      </w:r>
      <w:proofErr w:type="spellEnd"/>
      <w:r w:rsidR="00AA3B6C">
        <w:t xml:space="preserve"> του Εθνικού </w:t>
      </w:r>
      <w:proofErr w:type="spellStart"/>
      <w:r w:rsidR="00AA3B6C">
        <w:t>Ευρυζωνικού</w:t>
      </w:r>
      <w:proofErr w:type="spellEnd"/>
      <w:r w:rsidR="00AA3B6C">
        <w:t xml:space="preserve"> Πλάνου</w:t>
      </w:r>
      <w:r w:rsidRPr="001842DC">
        <w:t>”</w:t>
      </w:r>
    </w:p>
    <w:p w14:paraId="7DCB41AF" w14:textId="77777777" w:rsidR="00405559" w:rsidRDefault="00217F2E" w:rsidP="00CB21A9">
      <w:pPr>
        <w:pStyle w:val="1"/>
      </w:pPr>
      <w:r>
        <w:t xml:space="preserve">Ζητούμενα στοιχεία </w:t>
      </w:r>
      <w:r w:rsidR="00405559">
        <w:t xml:space="preserve">της </w:t>
      </w:r>
      <w:r w:rsidR="005A79A1">
        <w:t>Δ</w:t>
      </w:r>
      <w:r>
        <w:t>Π</w:t>
      </w:r>
    </w:p>
    <w:p w14:paraId="79A3DF77" w14:textId="77777777" w:rsidR="00405559" w:rsidRDefault="00405559" w:rsidP="00CB21A9">
      <w:pPr>
        <w:pStyle w:val="2"/>
      </w:pPr>
      <w:bookmarkStart w:id="0" w:name="_Ref72759920"/>
      <w:r>
        <w:t>Περιοχές</w:t>
      </w:r>
      <w:r w:rsidRPr="00D40476">
        <w:t xml:space="preserve"> </w:t>
      </w:r>
      <w:r>
        <w:t>κάλυψης των ιδιωτικών επενδυτικών σχεδίων</w:t>
      </w:r>
      <w:bookmarkEnd w:id="0"/>
    </w:p>
    <w:p w14:paraId="1ADDD4D2" w14:textId="7128CD0D" w:rsidR="00942AFD" w:rsidRPr="00942AFD" w:rsidRDefault="00217F2E" w:rsidP="00CB21A9">
      <w:r>
        <w:t>Ζ</w:t>
      </w:r>
      <w:r w:rsidR="00405559">
        <w:t xml:space="preserve">ητείται από τους </w:t>
      </w:r>
      <w:r>
        <w:t xml:space="preserve">συμμετέχοντες </w:t>
      </w:r>
      <w:r w:rsidR="00405559">
        <w:t>που δραστηριοποιούνται ή πρόκειται να δραστηριοποιηθούν στην ανάπτυξη υποδομών NGA</w:t>
      </w:r>
      <w:r w:rsidR="00405559" w:rsidRPr="00CD4C2D">
        <w:t xml:space="preserve"> </w:t>
      </w:r>
      <w:r w:rsidR="00405559">
        <w:t xml:space="preserve">μέχρι το </w:t>
      </w:r>
      <w:r>
        <w:t>τέλος τ</w:t>
      </w:r>
      <w:r w:rsidRPr="00942AFD">
        <w:t>ου έτους 202</w:t>
      </w:r>
      <w:r w:rsidR="00467E43" w:rsidRPr="00942AFD">
        <w:t>5</w:t>
      </w:r>
      <w:r w:rsidR="00405559" w:rsidRPr="00942AFD">
        <w:t>, να</w:t>
      </w:r>
      <w:r w:rsidR="00405559">
        <w:t xml:space="preserve"> προσδιορίσουν </w:t>
      </w:r>
      <w:r>
        <w:t xml:space="preserve">σε </w:t>
      </w:r>
      <w:r w:rsidR="00405559">
        <w:t xml:space="preserve">βαθμό λεπτομέρειας </w:t>
      </w:r>
      <w:r w:rsidR="00467E43">
        <w:t>Π</w:t>
      </w:r>
      <w:r w:rsidR="00467E43" w:rsidRPr="00070C1A">
        <w:t>εριοχή</w:t>
      </w:r>
      <w:r w:rsidR="00467E43">
        <w:t>ς</w:t>
      </w:r>
      <w:r w:rsidR="00467E43" w:rsidRPr="00070C1A">
        <w:t xml:space="preserve"> </w:t>
      </w:r>
      <w:r w:rsidR="00467E43">
        <w:t>Κ</w:t>
      </w:r>
      <w:r w:rsidR="00467E43" w:rsidRPr="00070C1A">
        <w:t xml:space="preserve">άλυψης </w:t>
      </w:r>
      <w:r w:rsidR="00467E43">
        <w:t xml:space="preserve">ενός </w:t>
      </w:r>
      <w:r w:rsidR="00467E43" w:rsidRPr="00893DA5">
        <w:t xml:space="preserve">Υπαίθριου </w:t>
      </w:r>
      <w:proofErr w:type="spellStart"/>
      <w:r w:rsidR="00467E43" w:rsidRPr="00893DA5">
        <w:t>Κατανεµητή</w:t>
      </w:r>
      <w:proofErr w:type="spellEnd"/>
      <w:r w:rsidR="00467E43">
        <w:t xml:space="preserve"> </w:t>
      </w:r>
      <w:r w:rsidR="00467E43">
        <w:lastRenderedPageBreak/>
        <w:t>-</w:t>
      </w:r>
      <w:r>
        <w:t>ΠΚΥΚ</w:t>
      </w:r>
      <w:r w:rsidR="00CB21A9">
        <w:rPr>
          <w:rStyle w:val="a8"/>
        </w:rPr>
        <w:footnoteReference w:id="3"/>
      </w:r>
      <w:r>
        <w:t xml:space="preserve"> </w:t>
      </w:r>
      <w:r w:rsidR="00405559">
        <w:t>τις περιοχές που καλύπτονται από τις υφιστάμενες (καθώς και αυτές πρόκειται να καλυφθούν από τις σχεδιαζόμενες) επενδύσεις τους.</w:t>
      </w:r>
      <w:r>
        <w:t xml:space="preserve"> </w:t>
      </w:r>
      <w:r w:rsidR="00942AFD" w:rsidRPr="001E2C8A">
        <w:rPr>
          <w:b/>
        </w:rPr>
        <w:t xml:space="preserve">Τονίζεται ότι για να ελαχιστοποιηθεί ο κίνδυνος αποκλίσεων ή μη πλήρους υλοποίησης των επενδυτικών σχεδίων, είναι πιθανόν να ζητηθούν </w:t>
      </w:r>
      <w:r w:rsidR="001E2C8A">
        <w:rPr>
          <w:b/>
        </w:rPr>
        <w:t xml:space="preserve">επιπλέον </w:t>
      </w:r>
      <w:r w:rsidR="00942AFD" w:rsidRPr="001E2C8A">
        <w:rPr>
          <w:b/>
        </w:rPr>
        <w:t xml:space="preserve">δεσμεύσεις </w:t>
      </w:r>
      <w:r w:rsidR="001E2C8A">
        <w:rPr>
          <w:b/>
        </w:rPr>
        <w:t xml:space="preserve">από αυτές που ζητούνται με το παρόν </w:t>
      </w:r>
      <w:r w:rsidR="001E2C8A" w:rsidRPr="001E2C8A">
        <w:rPr>
          <w:b/>
        </w:rPr>
        <w:t xml:space="preserve">(όπως ενδεικτικά Απόσπασμα εγκεκριμένου από το Διοικητικό Συμβούλιο επιχειρηματικού πλάνου, </w:t>
      </w:r>
      <w:r w:rsidR="001E2C8A">
        <w:rPr>
          <w:b/>
        </w:rPr>
        <w:t>α</w:t>
      </w:r>
      <w:r w:rsidR="001E2C8A" w:rsidRPr="001E2C8A">
        <w:rPr>
          <w:b/>
        </w:rPr>
        <w:t xml:space="preserve">νάλυση  πηγών  χρηματοδότησης  που  θα  χρησιμοποιηθούν </w:t>
      </w:r>
      <w:r w:rsidR="001E2C8A">
        <w:rPr>
          <w:b/>
        </w:rPr>
        <w:t xml:space="preserve">για την υλοποίησή του </w:t>
      </w:r>
      <w:r w:rsidR="001E2C8A" w:rsidRPr="001E2C8A">
        <w:rPr>
          <w:b/>
        </w:rPr>
        <w:t xml:space="preserve">με εγκεκριμένες πιστώσεις από τυχόν χρηματοδότες </w:t>
      </w:r>
      <w:proofErr w:type="spellStart"/>
      <w:r w:rsidR="001E2C8A" w:rsidRPr="001E2C8A">
        <w:rPr>
          <w:b/>
        </w:rPr>
        <w:t>κλπ</w:t>
      </w:r>
      <w:proofErr w:type="spellEnd"/>
      <w:r w:rsidR="001E2C8A" w:rsidRPr="001E2C8A">
        <w:rPr>
          <w:b/>
        </w:rPr>
        <w:t xml:space="preserve">) </w:t>
      </w:r>
      <w:r w:rsidR="00942AFD" w:rsidRPr="001E2C8A">
        <w:rPr>
          <w:b/>
        </w:rPr>
        <w:t xml:space="preserve">βάσει όσων προβλέπονται </w:t>
      </w:r>
      <w:r w:rsidR="00CB21A9" w:rsidRPr="001E2C8A">
        <w:rPr>
          <w:b/>
        </w:rPr>
        <w:t>στην παράγραφο 65 των ‘Κατευθυντηρίων  γραμμών’</w:t>
      </w:r>
      <w:r w:rsidR="00942AFD" w:rsidRPr="008456EE">
        <w:rPr>
          <w:rStyle w:val="a8"/>
          <w:rFonts w:ascii="Arial" w:hAnsi="Arial" w:cs="Arial"/>
          <w:sz w:val="20"/>
          <w:szCs w:val="20"/>
        </w:rPr>
        <w:footnoteReference w:id="4"/>
      </w:r>
      <w:r w:rsidR="00942AFD" w:rsidRPr="00942AFD">
        <w:t>.</w:t>
      </w:r>
    </w:p>
    <w:p w14:paraId="1EC0D30A" w14:textId="5593F92B" w:rsidR="00405559" w:rsidRPr="003465FF" w:rsidRDefault="00217F2E" w:rsidP="00CB21A9">
      <w:r>
        <w:t xml:space="preserve">Ο προσδιορισμός θα πρέπει να διατεθεί </w:t>
      </w:r>
      <w:r w:rsidR="00405559" w:rsidRPr="00811FE0">
        <w:t xml:space="preserve">σε </w:t>
      </w:r>
      <w:r w:rsidR="00405559">
        <w:t>μορφή π</w:t>
      </w:r>
      <w:r w:rsidR="00405559" w:rsidRPr="00811FE0">
        <w:t>ίνακα</w:t>
      </w:r>
      <w:r w:rsidR="00405559">
        <w:t xml:space="preserve">, </w:t>
      </w:r>
      <w:r w:rsidR="00CB21A9">
        <w:t xml:space="preserve">όπου θα περιλαμβάνονται τουλάχιστον </w:t>
      </w:r>
      <w:r w:rsidR="00CB21A9" w:rsidRPr="00CB21A9">
        <w:t>τα ακόλουθα</w:t>
      </w:r>
      <w:bookmarkStart w:id="1" w:name="_Ref59626947"/>
      <w:r w:rsidR="00CB21A9" w:rsidRPr="008456EE">
        <w:rPr>
          <w:rStyle w:val="a8"/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footnoteReference w:id="5"/>
      </w:r>
      <w:bookmarkEnd w:id="1"/>
      <w:r>
        <w:t xml:space="preserve"> για όλες τις ΠΚΥΚ</w:t>
      </w:r>
      <w:r w:rsidR="00405559" w:rsidRPr="003465FF">
        <w:t>:</w:t>
      </w:r>
    </w:p>
    <w:p w14:paraId="1E88D606" w14:textId="695250FB" w:rsidR="00CB21A9" w:rsidRPr="00CB21A9" w:rsidRDefault="00CB21A9" w:rsidP="00CB21A9">
      <w:pPr>
        <w:pStyle w:val="a6"/>
        <w:numPr>
          <w:ilvl w:val="1"/>
          <w:numId w:val="38"/>
        </w:numPr>
        <w:rPr>
          <w:rFonts w:eastAsia="Times New Roman"/>
          <w:lang w:eastAsia="el-GR"/>
        </w:rPr>
      </w:pPr>
      <w:r w:rsidRPr="00CB21A9">
        <w:rPr>
          <w:rFonts w:eastAsia="Times New Roman"/>
          <w:lang w:eastAsia="el-GR"/>
        </w:rPr>
        <w:t>Κωδικός ΥΚΕΕ/ΥΚΚ</w:t>
      </w:r>
      <w:r>
        <w:rPr>
          <w:rFonts w:eastAsia="Times New Roman"/>
          <w:lang w:eastAsia="el-GR"/>
        </w:rPr>
        <w:t xml:space="preserve"> </w:t>
      </w:r>
      <w:r w:rsidRPr="00CB21A9">
        <w:rPr>
          <w:rFonts w:eastAsia="Times New Roman"/>
          <w:lang w:eastAsia="el-GR"/>
        </w:rPr>
        <w:t>[WCRM]</w:t>
      </w:r>
    </w:p>
    <w:p w14:paraId="41421D1B" w14:textId="2D548541" w:rsidR="00A340C1" w:rsidRPr="00A340C1" w:rsidRDefault="00A340C1" w:rsidP="00CB21A9">
      <w:pPr>
        <w:pStyle w:val="a6"/>
        <w:numPr>
          <w:ilvl w:val="1"/>
          <w:numId w:val="38"/>
        </w:numPr>
        <w:rPr>
          <w:rFonts w:eastAsia="Times New Roman"/>
          <w:lang w:eastAsia="el-GR"/>
        </w:rPr>
      </w:pPr>
      <w:r w:rsidRPr="00A340C1">
        <w:rPr>
          <w:rFonts w:eastAsia="Times New Roman"/>
          <w:lang w:eastAsia="el-GR"/>
        </w:rPr>
        <w:t xml:space="preserve">Τεχνολογία πρόσβασης (με κατηγοριοποίηση σύμφωνα με το </w:t>
      </w:r>
      <w:proofErr w:type="spellStart"/>
      <w:r w:rsidRPr="008456EE">
        <w:rPr>
          <w:rFonts w:eastAsia="Times New Roman"/>
          <w:lang w:eastAsia="el-GR"/>
        </w:rPr>
        <w:t>Table</w:t>
      </w:r>
      <w:proofErr w:type="spellEnd"/>
      <w:r w:rsidRPr="00A340C1">
        <w:rPr>
          <w:rFonts w:eastAsia="Times New Roman"/>
          <w:lang w:eastAsia="el-GR"/>
        </w:rPr>
        <w:t xml:space="preserve"> 2</w:t>
      </w:r>
      <w:r w:rsidRPr="008456EE">
        <w:rPr>
          <w:rFonts w:eastAsia="Times New Roman"/>
          <w:vertAlign w:val="superscript"/>
          <w:lang w:eastAsia="el-GR"/>
        </w:rPr>
        <w:fldChar w:fldCharType="begin"/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  <w:instrText>NOTEREF</w:instrText>
      </w:r>
      <w:r w:rsidRPr="00A340C1">
        <w:rPr>
          <w:rFonts w:eastAsia="Times New Roman"/>
          <w:vertAlign w:val="superscript"/>
          <w:lang w:eastAsia="el-GR"/>
        </w:rPr>
        <w:instrText xml:space="preserve"> _</w:instrText>
      </w:r>
      <w:r w:rsidRPr="008456EE">
        <w:rPr>
          <w:rFonts w:eastAsia="Times New Roman"/>
          <w:vertAlign w:val="superscript"/>
          <w:lang w:eastAsia="el-GR"/>
        </w:rPr>
        <w:instrText>Ref</w:instrText>
      </w:r>
      <w:r w:rsidRPr="00A340C1">
        <w:rPr>
          <w:rFonts w:eastAsia="Times New Roman"/>
          <w:vertAlign w:val="superscript"/>
          <w:lang w:eastAsia="el-GR"/>
        </w:rPr>
        <w:instrText>59626947 \</w:instrText>
      </w:r>
      <w:r w:rsidRPr="008456EE">
        <w:rPr>
          <w:rFonts w:eastAsia="Times New Roman"/>
          <w:vertAlign w:val="superscript"/>
          <w:lang w:eastAsia="el-GR"/>
        </w:rPr>
        <w:instrText>h</w:instrText>
      </w:r>
      <w:r w:rsidRPr="00A340C1">
        <w:rPr>
          <w:rFonts w:eastAsia="Times New Roman"/>
          <w:vertAlign w:val="superscript"/>
          <w:lang w:eastAsia="el-GR"/>
        </w:rPr>
        <w:instrText xml:space="preserve">  \* </w:instrText>
      </w:r>
      <w:r w:rsidRPr="008456EE">
        <w:rPr>
          <w:rFonts w:eastAsia="Times New Roman"/>
          <w:vertAlign w:val="superscript"/>
          <w:lang w:eastAsia="el-GR"/>
        </w:rPr>
        <w:instrText>MERGEFORMAT</w:instrText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</w:r>
      <w:r w:rsidRPr="008456EE">
        <w:rPr>
          <w:rFonts w:eastAsia="Times New Roman"/>
          <w:vertAlign w:val="superscript"/>
          <w:lang w:eastAsia="el-GR"/>
        </w:rPr>
        <w:fldChar w:fldCharType="separate"/>
      </w:r>
      <w:r w:rsidRPr="00A340C1">
        <w:rPr>
          <w:rFonts w:eastAsia="Times New Roman"/>
          <w:vertAlign w:val="superscript"/>
          <w:lang w:eastAsia="el-GR"/>
        </w:rPr>
        <w:t>5</w:t>
      </w:r>
      <w:r w:rsidRPr="008456EE">
        <w:rPr>
          <w:rFonts w:eastAsia="Times New Roman"/>
          <w:vertAlign w:val="superscript"/>
          <w:lang w:eastAsia="el-GR"/>
        </w:rPr>
        <w:fldChar w:fldCharType="end"/>
      </w:r>
      <w:r w:rsidRPr="00A340C1">
        <w:rPr>
          <w:rFonts w:eastAsia="Times New Roman"/>
          <w:lang w:eastAsia="el-GR"/>
        </w:rPr>
        <w:t xml:space="preserve">, ήτοι, </w:t>
      </w:r>
      <w:r w:rsidRPr="008456EE">
        <w:rPr>
          <w:rFonts w:eastAsia="Times New Roman"/>
          <w:lang w:eastAsia="el-GR"/>
        </w:rPr>
        <w:t>DSL</w:t>
      </w:r>
      <w:r w:rsidRPr="00A340C1">
        <w:rPr>
          <w:rFonts w:eastAsia="Times New Roman"/>
          <w:lang w:eastAsia="el-GR"/>
        </w:rPr>
        <w:t xml:space="preserve">, </w:t>
      </w:r>
      <w:r w:rsidRPr="008456EE">
        <w:rPr>
          <w:rFonts w:eastAsia="Times New Roman"/>
          <w:lang w:eastAsia="el-GR"/>
        </w:rPr>
        <w:t>VDSL</w:t>
      </w:r>
      <w:r w:rsidRPr="00A340C1">
        <w:rPr>
          <w:rFonts w:eastAsia="Times New Roman"/>
          <w:lang w:eastAsia="el-GR"/>
        </w:rPr>
        <w:t xml:space="preserve">, </w:t>
      </w:r>
      <w:r w:rsidRPr="008456EE">
        <w:rPr>
          <w:rFonts w:eastAsia="Times New Roman"/>
          <w:lang w:eastAsia="el-GR"/>
        </w:rPr>
        <w:t>VECT</w:t>
      </w:r>
      <w:r w:rsidRPr="00A340C1">
        <w:rPr>
          <w:rFonts w:eastAsia="Times New Roman"/>
          <w:lang w:eastAsia="el-GR"/>
        </w:rPr>
        <w:t xml:space="preserve">, </w:t>
      </w:r>
      <w:r w:rsidRPr="008456EE">
        <w:rPr>
          <w:rFonts w:eastAsia="Times New Roman"/>
          <w:lang w:eastAsia="el-GR"/>
        </w:rPr>
        <w:t>DOC</w:t>
      </w:r>
      <w:r w:rsidRPr="00A340C1">
        <w:rPr>
          <w:rFonts w:eastAsia="Times New Roman"/>
          <w:lang w:eastAsia="el-GR"/>
        </w:rPr>
        <w:t xml:space="preserve">1, </w:t>
      </w:r>
      <w:r w:rsidRPr="008456EE">
        <w:rPr>
          <w:rFonts w:eastAsia="Times New Roman"/>
          <w:lang w:eastAsia="el-GR"/>
        </w:rPr>
        <w:t>DOC</w:t>
      </w:r>
      <w:r w:rsidRPr="00A340C1">
        <w:rPr>
          <w:rFonts w:eastAsia="Times New Roman"/>
          <w:lang w:eastAsia="el-GR"/>
        </w:rPr>
        <w:t xml:space="preserve">3, </w:t>
      </w:r>
      <w:r w:rsidRPr="008456EE">
        <w:rPr>
          <w:rFonts w:eastAsia="Times New Roman"/>
          <w:lang w:eastAsia="el-GR"/>
        </w:rPr>
        <w:t>FTTH</w:t>
      </w:r>
      <w:r w:rsidRPr="00A340C1">
        <w:rPr>
          <w:rFonts w:eastAsia="Times New Roman"/>
          <w:lang w:eastAsia="el-GR"/>
        </w:rPr>
        <w:t>/</w:t>
      </w:r>
      <w:r w:rsidRPr="008456EE">
        <w:rPr>
          <w:rFonts w:eastAsia="Times New Roman"/>
          <w:lang w:eastAsia="el-GR"/>
        </w:rPr>
        <w:t>B</w:t>
      </w:r>
      <w:r w:rsidRPr="00A340C1">
        <w:rPr>
          <w:rFonts w:eastAsia="Times New Roman"/>
          <w:lang w:eastAsia="el-GR"/>
        </w:rPr>
        <w:t xml:space="preserve">, </w:t>
      </w:r>
      <w:r w:rsidRPr="008456EE">
        <w:rPr>
          <w:rFonts w:eastAsia="Times New Roman"/>
          <w:lang w:eastAsia="el-GR"/>
        </w:rPr>
        <w:t>FWA</w:t>
      </w:r>
      <w:r w:rsidRPr="00A340C1">
        <w:rPr>
          <w:rFonts w:eastAsia="Times New Roman"/>
          <w:lang w:eastAsia="el-GR"/>
        </w:rPr>
        <w:t xml:space="preserve">, </w:t>
      </w:r>
      <w:r w:rsidRPr="008456EE">
        <w:rPr>
          <w:rFonts w:eastAsia="Times New Roman"/>
          <w:lang w:eastAsia="el-GR"/>
        </w:rPr>
        <w:t>WIFI</w:t>
      </w:r>
      <w:r w:rsidRPr="00A340C1">
        <w:rPr>
          <w:rFonts w:eastAsia="Times New Roman"/>
          <w:lang w:eastAsia="el-GR"/>
        </w:rPr>
        <w:t xml:space="preserve">, </w:t>
      </w:r>
      <w:r w:rsidRPr="008456EE">
        <w:rPr>
          <w:rFonts w:eastAsia="Times New Roman"/>
          <w:lang w:eastAsia="el-GR"/>
        </w:rPr>
        <w:t>OTHER</w:t>
      </w:r>
      <w:r w:rsidRPr="00A340C1">
        <w:rPr>
          <w:rFonts w:eastAsia="Times New Roman"/>
          <w:lang w:eastAsia="el-GR"/>
        </w:rPr>
        <w:t>)</w:t>
      </w:r>
    </w:p>
    <w:p w14:paraId="20635EEA" w14:textId="77777777" w:rsidR="00A340C1" w:rsidRPr="008456EE" w:rsidRDefault="00A340C1" w:rsidP="00CB21A9">
      <w:pPr>
        <w:pStyle w:val="a6"/>
        <w:numPr>
          <w:ilvl w:val="1"/>
          <w:numId w:val="38"/>
        </w:numPr>
        <w:rPr>
          <w:rFonts w:eastAsia="Times New Roman"/>
          <w:lang w:eastAsia="el-GR"/>
        </w:rPr>
      </w:pPr>
      <w:r w:rsidRPr="008456EE">
        <w:rPr>
          <w:rFonts w:eastAsia="Times New Roman"/>
          <w:lang w:eastAsia="el-GR"/>
        </w:rPr>
        <w:t>Έτος έναρξης παροχής υπηρεσίας</w:t>
      </w:r>
    </w:p>
    <w:p w14:paraId="1F3D0323" w14:textId="77777777" w:rsidR="00A340C1" w:rsidRPr="00A340C1" w:rsidRDefault="00A340C1" w:rsidP="00CB21A9">
      <w:pPr>
        <w:pStyle w:val="a6"/>
        <w:numPr>
          <w:ilvl w:val="1"/>
          <w:numId w:val="38"/>
        </w:numPr>
        <w:rPr>
          <w:rFonts w:eastAsia="Times New Roman"/>
          <w:lang w:eastAsia="el-GR"/>
        </w:rPr>
      </w:pPr>
      <w:r w:rsidRPr="00A340C1">
        <w:rPr>
          <w:rFonts w:eastAsia="Times New Roman"/>
          <w:lang w:eastAsia="el-GR"/>
        </w:rPr>
        <w:t xml:space="preserve">Αναμενόμενη ταχύτητα καθόδου σε συνθήκες αιχμής - </w:t>
      </w:r>
      <w:proofErr w:type="spellStart"/>
      <w:r w:rsidRPr="008456EE">
        <w:rPr>
          <w:rFonts w:eastAsia="Times New Roman"/>
          <w:lang w:eastAsia="el-GR"/>
        </w:rPr>
        <w:t>Expected</w:t>
      </w:r>
      <w:proofErr w:type="spellEnd"/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peak</w:t>
      </w:r>
      <w:proofErr w:type="spellEnd"/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time</w:t>
      </w:r>
      <w:proofErr w:type="spellEnd"/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download</w:t>
      </w:r>
      <w:proofErr w:type="spellEnd"/>
      <w:r w:rsidRPr="00A340C1">
        <w:rPr>
          <w:rFonts w:eastAsia="Times New Roman"/>
          <w:lang w:eastAsia="el-GR"/>
        </w:rPr>
        <w:t xml:space="preserve"> (με κατηγοριοποίηση σύμφωνα με τον </w:t>
      </w:r>
      <w:proofErr w:type="spellStart"/>
      <w:r w:rsidRPr="008456EE">
        <w:rPr>
          <w:rFonts w:eastAsia="Times New Roman"/>
          <w:lang w:eastAsia="el-GR"/>
        </w:rPr>
        <w:t>Annex</w:t>
      </w:r>
      <w:proofErr w:type="spellEnd"/>
      <w:r w:rsidRPr="00A340C1">
        <w:rPr>
          <w:rFonts w:eastAsia="Times New Roman"/>
          <w:lang w:eastAsia="el-GR"/>
        </w:rPr>
        <w:t xml:space="preserve"> 2</w:t>
      </w:r>
      <w:r w:rsidRPr="008456EE">
        <w:rPr>
          <w:rFonts w:eastAsia="Times New Roman"/>
          <w:vertAlign w:val="superscript"/>
          <w:lang w:eastAsia="el-GR"/>
        </w:rPr>
        <w:fldChar w:fldCharType="begin"/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  <w:instrText>NOTEREF</w:instrText>
      </w:r>
      <w:r w:rsidRPr="00A340C1">
        <w:rPr>
          <w:rFonts w:eastAsia="Times New Roman"/>
          <w:vertAlign w:val="superscript"/>
          <w:lang w:eastAsia="el-GR"/>
        </w:rPr>
        <w:instrText xml:space="preserve"> _</w:instrText>
      </w:r>
      <w:r w:rsidRPr="008456EE">
        <w:rPr>
          <w:rFonts w:eastAsia="Times New Roman"/>
          <w:vertAlign w:val="superscript"/>
          <w:lang w:eastAsia="el-GR"/>
        </w:rPr>
        <w:instrText>Ref</w:instrText>
      </w:r>
      <w:r w:rsidRPr="00A340C1">
        <w:rPr>
          <w:rFonts w:eastAsia="Times New Roman"/>
          <w:vertAlign w:val="superscript"/>
          <w:lang w:eastAsia="el-GR"/>
        </w:rPr>
        <w:instrText>59626947 \</w:instrText>
      </w:r>
      <w:r w:rsidRPr="008456EE">
        <w:rPr>
          <w:rFonts w:eastAsia="Times New Roman"/>
          <w:vertAlign w:val="superscript"/>
          <w:lang w:eastAsia="el-GR"/>
        </w:rPr>
        <w:instrText>h</w:instrText>
      </w:r>
      <w:r w:rsidRPr="00A340C1">
        <w:rPr>
          <w:rFonts w:eastAsia="Times New Roman"/>
          <w:vertAlign w:val="superscript"/>
          <w:lang w:eastAsia="el-GR"/>
        </w:rPr>
        <w:instrText xml:space="preserve">  \* </w:instrText>
      </w:r>
      <w:r w:rsidRPr="008456EE">
        <w:rPr>
          <w:rFonts w:eastAsia="Times New Roman"/>
          <w:vertAlign w:val="superscript"/>
          <w:lang w:eastAsia="el-GR"/>
        </w:rPr>
        <w:instrText>MERGEFORMAT</w:instrText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</w:r>
      <w:r w:rsidRPr="008456EE">
        <w:rPr>
          <w:rFonts w:eastAsia="Times New Roman"/>
          <w:vertAlign w:val="superscript"/>
          <w:lang w:eastAsia="el-GR"/>
        </w:rPr>
        <w:fldChar w:fldCharType="separate"/>
      </w:r>
      <w:r w:rsidRPr="00A340C1">
        <w:rPr>
          <w:rFonts w:eastAsia="Times New Roman"/>
          <w:vertAlign w:val="superscript"/>
          <w:lang w:eastAsia="el-GR"/>
        </w:rPr>
        <w:t>5</w:t>
      </w:r>
      <w:r w:rsidRPr="008456EE">
        <w:rPr>
          <w:rFonts w:eastAsia="Times New Roman"/>
          <w:vertAlign w:val="superscript"/>
          <w:lang w:eastAsia="el-GR"/>
        </w:rPr>
        <w:fldChar w:fldCharType="end"/>
      </w:r>
      <w:r w:rsidRPr="00A340C1">
        <w:rPr>
          <w:rFonts w:eastAsia="Times New Roman"/>
          <w:lang w:eastAsia="el-GR"/>
        </w:rPr>
        <w:t>: ήτοι</w:t>
      </w:r>
      <w:r w:rsidRPr="008456EE">
        <w:rPr>
          <w:rFonts w:eastAsia="Times New Roman"/>
          <w:lang w:eastAsia="el-GR"/>
        </w:rPr>
        <w:t> </w:t>
      </w:r>
      <w:r w:rsidRPr="00A340C1">
        <w:rPr>
          <w:rFonts w:eastAsia="Times New Roman"/>
          <w:lang w:eastAsia="el-GR"/>
        </w:rPr>
        <w:t xml:space="preserve"> 1000, 300, 100, 30, 10, 2).</w:t>
      </w:r>
    </w:p>
    <w:p w14:paraId="02AE1E2D" w14:textId="77777777" w:rsidR="00A340C1" w:rsidRPr="00A340C1" w:rsidRDefault="00A340C1" w:rsidP="00CB21A9">
      <w:pPr>
        <w:pStyle w:val="a6"/>
        <w:numPr>
          <w:ilvl w:val="1"/>
          <w:numId w:val="38"/>
        </w:numPr>
        <w:rPr>
          <w:rFonts w:eastAsia="Times New Roman"/>
          <w:lang w:eastAsia="el-GR"/>
        </w:rPr>
      </w:pPr>
      <w:r w:rsidRPr="00A340C1">
        <w:rPr>
          <w:rFonts w:eastAsia="Times New Roman"/>
          <w:lang w:eastAsia="el-GR"/>
        </w:rPr>
        <w:t xml:space="preserve">Αναμενόμενη ταχύτητα ανόδου σε συνθήκες αιχμής - </w:t>
      </w:r>
      <w:proofErr w:type="spellStart"/>
      <w:r w:rsidRPr="008456EE">
        <w:rPr>
          <w:rFonts w:eastAsia="Times New Roman"/>
          <w:lang w:eastAsia="el-GR"/>
        </w:rPr>
        <w:t>Expected</w:t>
      </w:r>
      <w:proofErr w:type="spellEnd"/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peak</w:t>
      </w:r>
      <w:proofErr w:type="spellEnd"/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time</w:t>
      </w:r>
      <w:proofErr w:type="spellEnd"/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upload</w:t>
      </w:r>
      <w:proofErr w:type="spellEnd"/>
      <w:r w:rsidRPr="00A340C1">
        <w:rPr>
          <w:rFonts w:eastAsia="Times New Roman"/>
          <w:lang w:eastAsia="el-GR"/>
        </w:rPr>
        <w:t xml:space="preserve"> (με κατηγοριοποίηση σύμφωνα με τον </w:t>
      </w:r>
      <w:proofErr w:type="spellStart"/>
      <w:r w:rsidRPr="008456EE">
        <w:rPr>
          <w:rFonts w:eastAsia="Times New Roman"/>
          <w:lang w:eastAsia="el-GR"/>
        </w:rPr>
        <w:t>Annex</w:t>
      </w:r>
      <w:proofErr w:type="spellEnd"/>
      <w:r w:rsidRPr="00A340C1">
        <w:rPr>
          <w:rFonts w:eastAsia="Times New Roman"/>
          <w:lang w:eastAsia="el-GR"/>
        </w:rPr>
        <w:t xml:space="preserve"> 2</w:t>
      </w:r>
      <w:r w:rsidRPr="008456EE">
        <w:rPr>
          <w:rFonts w:eastAsia="Times New Roman"/>
          <w:vertAlign w:val="superscript"/>
          <w:lang w:eastAsia="el-GR"/>
        </w:rPr>
        <w:fldChar w:fldCharType="begin"/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  <w:instrText>NOTEREF</w:instrText>
      </w:r>
      <w:r w:rsidRPr="00A340C1">
        <w:rPr>
          <w:rFonts w:eastAsia="Times New Roman"/>
          <w:vertAlign w:val="superscript"/>
          <w:lang w:eastAsia="el-GR"/>
        </w:rPr>
        <w:instrText xml:space="preserve"> _</w:instrText>
      </w:r>
      <w:r w:rsidRPr="008456EE">
        <w:rPr>
          <w:rFonts w:eastAsia="Times New Roman"/>
          <w:vertAlign w:val="superscript"/>
          <w:lang w:eastAsia="el-GR"/>
        </w:rPr>
        <w:instrText>Ref</w:instrText>
      </w:r>
      <w:r w:rsidRPr="00A340C1">
        <w:rPr>
          <w:rFonts w:eastAsia="Times New Roman"/>
          <w:vertAlign w:val="superscript"/>
          <w:lang w:eastAsia="el-GR"/>
        </w:rPr>
        <w:instrText>59626947 \</w:instrText>
      </w:r>
      <w:r w:rsidRPr="008456EE">
        <w:rPr>
          <w:rFonts w:eastAsia="Times New Roman"/>
          <w:vertAlign w:val="superscript"/>
          <w:lang w:eastAsia="el-GR"/>
        </w:rPr>
        <w:instrText>h</w:instrText>
      </w:r>
      <w:r w:rsidRPr="00A340C1">
        <w:rPr>
          <w:rFonts w:eastAsia="Times New Roman"/>
          <w:vertAlign w:val="superscript"/>
          <w:lang w:eastAsia="el-GR"/>
        </w:rPr>
        <w:instrText xml:space="preserve">  \* </w:instrText>
      </w:r>
      <w:r w:rsidRPr="008456EE">
        <w:rPr>
          <w:rFonts w:eastAsia="Times New Roman"/>
          <w:vertAlign w:val="superscript"/>
          <w:lang w:eastAsia="el-GR"/>
        </w:rPr>
        <w:instrText>MERGEFORMAT</w:instrText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</w:r>
      <w:r w:rsidRPr="008456EE">
        <w:rPr>
          <w:rFonts w:eastAsia="Times New Roman"/>
          <w:vertAlign w:val="superscript"/>
          <w:lang w:eastAsia="el-GR"/>
        </w:rPr>
        <w:fldChar w:fldCharType="separate"/>
      </w:r>
      <w:r w:rsidRPr="00A340C1">
        <w:rPr>
          <w:rFonts w:eastAsia="Times New Roman"/>
          <w:vertAlign w:val="superscript"/>
          <w:lang w:eastAsia="el-GR"/>
        </w:rPr>
        <w:t>5</w:t>
      </w:r>
      <w:r w:rsidRPr="008456EE">
        <w:rPr>
          <w:rFonts w:eastAsia="Times New Roman"/>
          <w:vertAlign w:val="superscript"/>
          <w:lang w:eastAsia="el-GR"/>
        </w:rPr>
        <w:fldChar w:fldCharType="end"/>
      </w:r>
      <w:r w:rsidRPr="00A340C1">
        <w:rPr>
          <w:rFonts w:eastAsia="Times New Roman"/>
          <w:lang w:eastAsia="el-GR"/>
        </w:rPr>
        <w:t>: ήτοι</w:t>
      </w:r>
      <w:r w:rsidRPr="008456EE">
        <w:rPr>
          <w:rFonts w:eastAsia="Times New Roman"/>
          <w:lang w:eastAsia="el-GR"/>
        </w:rPr>
        <w:t> </w:t>
      </w:r>
      <w:r w:rsidRPr="00A340C1">
        <w:rPr>
          <w:rFonts w:eastAsia="Times New Roman"/>
          <w:lang w:eastAsia="el-GR"/>
        </w:rPr>
        <w:t xml:space="preserve"> 1000, 300, 100, 30, 10, 2).</w:t>
      </w:r>
    </w:p>
    <w:p w14:paraId="6CC84A42" w14:textId="77777777" w:rsidR="00A340C1" w:rsidRPr="00A340C1" w:rsidRDefault="00A340C1" w:rsidP="00CB21A9">
      <w:pPr>
        <w:pStyle w:val="a6"/>
        <w:numPr>
          <w:ilvl w:val="1"/>
          <w:numId w:val="38"/>
        </w:numPr>
        <w:rPr>
          <w:rFonts w:eastAsia="Times New Roman"/>
          <w:lang w:eastAsia="el-GR"/>
        </w:rPr>
      </w:pPr>
      <w:proofErr w:type="spellStart"/>
      <w:r w:rsidRPr="008456EE">
        <w:rPr>
          <w:rFonts w:eastAsia="Times New Roman"/>
          <w:lang w:eastAsia="el-GR"/>
        </w:rPr>
        <w:t>T</w:t>
      </w:r>
      <w:r w:rsidRPr="00A340C1">
        <w:rPr>
          <w:rFonts w:eastAsia="Times New Roman"/>
          <w:lang w:eastAsia="el-GR"/>
        </w:rPr>
        <w:t>ύπος</w:t>
      </w:r>
      <w:proofErr w:type="spellEnd"/>
      <w:r w:rsidRPr="00A340C1">
        <w:rPr>
          <w:rFonts w:eastAsia="Times New Roman"/>
          <w:lang w:eastAsia="el-GR"/>
        </w:rPr>
        <w:t xml:space="preserve"> </w:t>
      </w:r>
      <w:r w:rsidRPr="008456EE">
        <w:rPr>
          <w:rFonts w:eastAsia="Times New Roman"/>
          <w:lang w:eastAsia="el-GR"/>
        </w:rPr>
        <w:t>VHCN</w:t>
      </w:r>
      <w:r w:rsidRPr="00A340C1">
        <w:rPr>
          <w:rFonts w:eastAsia="Times New Roman"/>
          <w:lang w:eastAsia="el-GR"/>
        </w:rPr>
        <w:t xml:space="preserve"> (με κατηγοριοποίηση σύμφωνα με το </w:t>
      </w:r>
      <w:proofErr w:type="spellStart"/>
      <w:r w:rsidRPr="008456EE">
        <w:rPr>
          <w:rFonts w:eastAsia="Times New Roman"/>
          <w:lang w:eastAsia="el-GR"/>
        </w:rPr>
        <w:t>Table</w:t>
      </w:r>
      <w:proofErr w:type="spellEnd"/>
      <w:r w:rsidRPr="00A340C1">
        <w:rPr>
          <w:rFonts w:eastAsia="Times New Roman"/>
          <w:lang w:eastAsia="el-GR"/>
        </w:rPr>
        <w:t xml:space="preserve"> 1</w:t>
      </w:r>
      <w:r w:rsidRPr="008456EE">
        <w:rPr>
          <w:rFonts w:eastAsia="Times New Roman"/>
          <w:vertAlign w:val="superscript"/>
          <w:lang w:eastAsia="el-GR"/>
        </w:rPr>
        <w:fldChar w:fldCharType="begin"/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  <w:instrText>NOTEREF</w:instrText>
      </w:r>
      <w:r w:rsidRPr="00A340C1">
        <w:rPr>
          <w:rFonts w:eastAsia="Times New Roman"/>
          <w:vertAlign w:val="superscript"/>
          <w:lang w:eastAsia="el-GR"/>
        </w:rPr>
        <w:instrText xml:space="preserve"> _</w:instrText>
      </w:r>
      <w:r w:rsidRPr="008456EE">
        <w:rPr>
          <w:rFonts w:eastAsia="Times New Roman"/>
          <w:vertAlign w:val="superscript"/>
          <w:lang w:eastAsia="el-GR"/>
        </w:rPr>
        <w:instrText>Ref</w:instrText>
      </w:r>
      <w:r w:rsidRPr="00A340C1">
        <w:rPr>
          <w:rFonts w:eastAsia="Times New Roman"/>
          <w:vertAlign w:val="superscript"/>
          <w:lang w:eastAsia="el-GR"/>
        </w:rPr>
        <w:instrText>59626947 \</w:instrText>
      </w:r>
      <w:r w:rsidRPr="008456EE">
        <w:rPr>
          <w:rFonts w:eastAsia="Times New Roman"/>
          <w:vertAlign w:val="superscript"/>
          <w:lang w:eastAsia="el-GR"/>
        </w:rPr>
        <w:instrText>h</w:instrText>
      </w:r>
      <w:r w:rsidRPr="00A340C1">
        <w:rPr>
          <w:rFonts w:eastAsia="Times New Roman"/>
          <w:vertAlign w:val="superscript"/>
          <w:lang w:eastAsia="el-GR"/>
        </w:rPr>
        <w:instrText xml:space="preserve">  \* </w:instrText>
      </w:r>
      <w:r w:rsidRPr="008456EE">
        <w:rPr>
          <w:rFonts w:eastAsia="Times New Roman"/>
          <w:vertAlign w:val="superscript"/>
          <w:lang w:eastAsia="el-GR"/>
        </w:rPr>
        <w:instrText>MERGEFORMAT</w:instrText>
      </w:r>
      <w:r w:rsidRPr="00A340C1">
        <w:rPr>
          <w:rFonts w:eastAsia="Times New Roman"/>
          <w:vertAlign w:val="superscript"/>
          <w:lang w:eastAsia="el-GR"/>
        </w:rPr>
        <w:instrText xml:space="preserve"> </w:instrText>
      </w:r>
      <w:r w:rsidRPr="008456EE">
        <w:rPr>
          <w:rFonts w:eastAsia="Times New Roman"/>
          <w:vertAlign w:val="superscript"/>
          <w:lang w:eastAsia="el-GR"/>
        </w:rPr>
      </w:r>
      <w:r w:rsidRPr="008456EE">
        <w:rPr>
          <w:rFonts w:eastAsia="Times New Roman"/>
          <w:vertAlign w:val="superscript"/>
          <w:lang w:eastAsia="el-GR"/>
        </w:rPr>
        <w:fldChar w:fldCharType="separate"/>
      </w:r>
      <w:r w:rsidRPr="00A340C1">
        <w:rPr>
          <w:rFonts w:eastAsia="Times New Roman"/>
          <w:vertAlign w:val="superscript"/>
          <w:lang w:eastAsia="el-GR"/>
        </w:rPr>
        <w:t>5</w:t>
      </w:r>
      <w:r w:rsidRPr="008456EE">
        <w:rPr>
          <w:rFonts w:eastAsia="Times New Roman"/>
          <w:vertAlign w:val="superscript"/>
          <w:lang w:eastAsia="el-GR"/>
        </w:rPr>
        <w:fldChar w:fldCharType="end"/>
      </w:r>
      <w:r w:rsidRPr="00A340C1">
        <w:rPr>
          <w:rFonts w:eastAsia="Times New Roman"/>
          <w:lang w:eastAsia="el-GR"/>
        </w:rPr>
        <w:t xml:space="preserve"> ήτοι: 0,1,3, λαμβάνοντας υπόψη και τη σχετική εξειδίκευση των </w:t>
      </w:r>
      <w:r w:rsidRPr="008456EE">
        <w:rPr>
          <w:rFonts w:eastAsia="Times New Roman"/>
          <w:lang w:eastAsia="el-GR"/>
        </w:rPr>
        <w:t>VHCN</w:t>
      </w:r>
      <w:bookmarkStart w:id="2" w:name="_Ref59626882"/>
      <w:r w:rsidRPr="008456EE">
        <w:rPr>
          <w:rStyle w:val="a8"/>
          <w:rFonts w:ascii="Arial" w:eastAsia="Times New Roman" w:hAnsi="Arial" w:cs="Arial"/>
          <w:iCs/>
          <w:color w:val="000000"/>
          <w:sz w:val="20"/>
          <w:szCs w:val="20"/>
          <w:lang w:eastAsia="el-GR"/>
        </w:rPr>
        <w:footnoteReference w:id="6"/>
      </w:r>
      <w:bookmarkEnd w:id="2"/>
      <w:r w:rsidRPr="00A340C1">
        <w:rPr>
          <w:rFonts w:eastAsia="Times New Roman"/>
          <w:lang w:eastAsia="el-GR"/>
        </w:rPr>
        <w:t>)</w:t>
      </w:r>
    </w:p>
    <w:p w14:paraId="5AD5C2BC" w14:textId="26E3B91F" w:rsidR="00A340C1" w:rsidRPr="001E2C8A" w:rsidRDefault="00A340C1" w:rsidP="00CB21A9">
      <w:pPr>
        <w:pStyle w:val="a6"/>
        <w:numPr>
          <w:ilvl w:val="1"/>
          <w:numId w:val="38"/>
        </w:numPr>
        <w:rPr>
          <w:rFonts w:eastAsia="Times New Roman"/>
          <w:lang w:eastAsia="el-GR"/>
        </w:rPr>
      </w:pPr>
      <w:r w:rsidRPr="00A340C1">
        <w:rPr>
          <w:rFonts w:eastAsia="Times New Roman"/>
          <w:lang w:eastAsia="el-GR"/>
        </w:rPr>
        <w:t xml:space="preserve">Αριθμός καλυπτόμενων </w:t>
      </w:r>
      <w:r w:rsidR="00CB21A9">
        <w:rPr>
          <w:rFonts w:eastAsia="Times New Roman"/>
          <w:lang w:eastAsia="el-GR"/>
        </w:rPr>
        <w:t>ανεξάρτητων χώρων</w:t>
      </w:r>
      <w:r w:rsidRPr="00A340C1">
        <w:rPr>
          <w:rFonts w:eastAsia="Times New Roman"/>
          <w:lang w:eastAsia="el-GR"/>
        </w:rPr>
        <w:t xml:space="preserve"> (</w:t>
      </w:r>
      <w:proofErr w:type="spellStart"/>
      <w:r w:rsidRPr="008456EE">
        <w:rPr>
          <w:rFonts w:eastAsia="Times New Roman"/>
          <w:lang w:eastAsia="el-GR"/>
        </w:rPr>
        <w:t>number</w:t>
      </w:r>
      <w:proofErr w:type="spellEnd"/>
      <w:r w:rsidRPr="00A340C1">
        <w:rPr>
          <w:rFonts w:eastAsia="Times New Roman"/>
          <w:lang w:eastAsia="el-GR"/>
        </w:rPr>
        <w:t xml:space="preserve"> </w:t>
      </w:r>
      <w:r w:rsidRPr="008456EE">
        <w:rPr>
          <w:rFonts w:eastAsia="Times New Roman"/>
          <w:lang w:eastAsia="el-GR"/>
        </w:rPr>
        <w:t>of</w:t>
      </w:r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premises</w:t>
      </w:r>
      <w:proofErr w:type="spellEnd"/>
      <w:r w:rsidRPr="00A340C1">
        <w:rPr>
          <w:rFonts w:eastAsia="Times New Roman"/>
          <w:lang w:eastAsia="el-GR"/>
        </w:rPr>
        <w:t xml:space="preserve"> </w:t>
      </w:r>
      <w:proofErr w:type="spellStart"/>
      <w:r w:rsidRPr="008456EE">
        <w:rPr>
          <w:rFonts w:eastAsia="Times New Roman"/>
          <w:lang w:eastAsia="el-GR"/>
        </w:rPr>
        <w:t>passed</w:t>
      </w:r>
      <w:proofErr w:type="spellEnd"/>
      <w:r w:rsidRPr="00A340C1">
        <w:rPr>
          <w:rFonts w:eastAsia="Times New Roman"/>
          <w:lang w:eastAsia="el-GR"/>
        </w:rPr>
        <w:t>) εφόσον είναι διαθέσιμ</w:t>
      </w:r>
      <w:r w:rsidRPr="001E2C8A">
        <w:rPr>
          <w:rFonts w:eastAsia="Times New Roman"/>
          <w:lang w:eastAsia="el-GR"/>
        </w:rPr>
        <w:t>ος</w:t>
      </w:r>
    </w:p>
    <w:p w14:paraId="26496808" w14:textId="77777777" w:rsidR="00405559" w:rsidRPr="001E2C8A" w:rsidRDefault="00753241" w:rsidP="00CB21A9">
      <w:pPr>
        <w:pStyle w:val="2"/>
      </w:pPr>
      <w:r w:rsidRPr="001E2C8A">
        <w:lastRenderedPageBreak/>
        <w:t>Δέσμευση</w:t>
      </w:r>
      <w:r w:rsidR="00405559" w:rsidRPr="001E2C8A">
        <w:t xml:space="preserve"> πρόθεσης </w:t>
      </w:r>
      <w:r w:rsidRPr="001E2C8A">
        <w:t xml:space="preserve">τήρησης των </w:t>
      </w:r>
      <w:r w:rsidR="00405559" w:rsidRPr="001E2C8A">
        <w:t xml:space="preserve">επενδυτικών σχεδίων </w:t>
      </w:r>
    </w:p>
    <w:p w14:paraId="54C09159" w14:textId="2ECA1D72" w:rsidR="00C347A0" w:rsidRPr="001E2C8A" w:rsidRDefault="001E2C8A" w:rsidP="001E2C8A">
      <w:r w:rsidRPr="001E2C8A">
        <w:t>Ο</w:t>
      </w:r>
      <w:r w:rsidR="00405559" w:rsidRPr="001E2C8A">
        <w:t>ι ιδιώτες επενδυτές</w:t>
      </w:r>
      <w:r w:rsidRPr="001E2C8A">
        <w:t>, προκειμένου να τεκμηριώσουν τη δέσμευσή τους για την υλοποίηση των υποβληθέντων στοιχείων θα πρέπει (με την επιφύλαξη των αναφερομένων στην παράγραφο</w:t>
      </w:r>
      <w:r w:rsidR="0074336D">
        <w:fldChar w:fldCharType="begin"/>
      </w:r>
      <w:r w:rsidR="0074336D">
        <w:instrText xml:space="preserve"> REF _Ref72759920 \r \h </w:instrText>
      </w:r>
      <w:r w:rsidR="0074336D">
        <w:fldChar w:fldCharType="separate"/>
      </w:r>
      <w:r w:rsidR="0074336D">
        <w:t>2.1</w:t>
      </w:r>
      <w:r w:rsidR="0074336D">
        <w:fldChar w:fldCharType="end"/>
      </w:r>
      <w:r w:rsidRPr="001E2C8A">
        <w:t xml:space="preserve">) να </w:t>
      </w:r>
      <w:r w:rsidR="00405559" w:rsidRPr="001E2C8A">
        <w:t xml:space="preserve">προσκομίσουν </w:t>
      </w:r>
      <w:r w:rsidRPr="001E2C8A">
        <w:t>ε</w:t>
      </w:r>
      <w:r w:rsidR="00C347A0" w:rsidRPr="001E2C8A">
        <w:t>πιστολή</w:t>
      </w:r>
      <w:r w:rsidRPr="001E2C8A">
        <w:t xml:space="preserve"> του </w:t>
      </w:r>
      <w:r w:rsidR="00C347A0" w:rsidRPr="001E2C8A">
        <w:t xml:space="preserve"> νόμιμου εκπροσώπου με δεσμευτική δήλωση για την πρόθεση υλοποίησης του υποβληθέντος επιχειρηματικού πλάνου στις συγκεκριμένες περιοχές έως το τέλος του 202</w:t>
      </w:r>
      <w:r w:rsidR="00CB21A9" w:rsidRPr="001E2C8A">
        <w:t>5</w:t>
      </w:r>
      <w:r w:rsidR="00C47B35" w:rsidRPr="001E2C8A">
        <w:t>.</w:t>
      </w:r>
    </w:p>
    <w:p w14:paraId="029CAF63" w14:textId="1AD86719" w:rsidR="00D40476" w:rsidRPr="001842DC" w:rsidRDefault="00405559" w:rsidP="00CB21A9">
      <w:r w:rsidRPr="001E2C8A">
        <w:t>Εφόσον απαιτηθεί, μπορούν να ζητηθούν κατά περίπτωση πρόσθετα στοιχεία ή διευκριν</w:t>
      </w:r>
      <w:r w:rsidR="0074336D">
        <w:t>ί</w:t>
      </w:r>
      <w:r w:rsidRPr="001E2C8A">
        <w:t xml:space="preserve">σεις για την πλήρη αποσαφήνιση του σχεδιασμού κάθε </w:t>
      </w:r>
      <w:proofErr w:type="spellStart"/>
      <w:r w:rsidRPr="001E2C8A">
        <w:t>παρόχου</w:t>
      </w:r>
      <w:proofErr w:type="spellEnd"/>
      <w:r w:rsidRPr="001E2C8A">
        <w:t>.</w:t>
      </w:r>
    </w:p>
    <w:sectPr w:rsidR="00D40476" w:rsidRPr="001842DC" w:rsidSect="00CB21A9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84BF" w14:textId="77777777" w:rsidR="00C45104" w:rsidRDefault="00C45104" w:rsidP="00CB21A9">
      <w:r>
        <w:separator/>
      </w:r>
    </w:p>
  </w:endnote>
  <w:endnote w:type="continuationSeparator" w:id="0">
    <w:p w14:paraId="3B560E20" w14:textId="77777777" w:rsidR="00C45104" w:rsidRDefault="00C45104" w:rsidP="00CB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ED99" w14:textId="31F76FEB" w:rsidR="00421718" w:rsidRDefault="00421718" w:rsidP="00CB21A9">
    <w:pPr>
      <w:pStyle w:val="a4"/>
    </w:pPr>
  </w:p>
  <w:p w14:paraId="1771F22F" w14:textId="77777777" w:rsidR="00421718" w:rsidRDefault="00421718" w:rsidP="00CB21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8846" w14:textId="77777777" w:rsidR="00C45104" w:rsidRDefault="00C45104" w:rsidP="00CB21A9">
      <w:r>
        <w:separator/>
      </w:r>
    </w:p>
  </w:footnote>
  <w:footnote w:type="continuationSeparator" w:id="0">
    <w:p w14:paraId="6FCA72D9" w14:textId="77777777" w:rsidR="00C45104" w:rsidRDefault="00C45104" w:rsidP="00CB21A9">
      <w:r>
        <w:continuationSeparator/>
      </w:r>
    </w:p>
  </w:footnote>
  <w:footnote w:id="1">
    <w:p w14:paraId="6D58513E" w14:textId="75F9AE60" w:rsidR="00AA3B6C" w:rsidRPr="00AA3B6C" w:rsidRDefault="00AA3B6C" w:rsidP="00CB21A9">
      <w:pPr>
        <w:pStyle w:val="a7"/>
      </w:pPr>
      <w:r>
        <w:rPr>
          <w:rStyle w:val="a8"/>
        </w:rPr>
        <w:footnoteRef/>
      </w:r>
      <w:r w:rsidR="0010607B">
        <w:rPr>
          <w:color w:val="0000FF"/>
          <w:sz w:val="18"/>
          <w:szCs w:val="18"/>
        </w:rPr>
        <w:t xml:space="preserve"> </w:t>
      </w:r>
      <w:r w:rsidR="0010607B" w:rsidRPr="0010607B">
        <w:t xml:space="preserve">COM (2016) 587, Συνδεσιμότητα για ανταγωνιστική ψηφιακή ενιαία αγορά — Προς μια ευρωπαϊκή κοινωνία των </w:t>
      </w:r>
      <w:proofErr w:type="spellStart"/>
      <w:r w:rsidR="0010607B" w:rsidRPr="0010607B">
        <w:t>Gigabit</w:t>
      </w:r>
      <w:proofErr w:type="spellEnd"/>
      <w:r w:rsidRPr="0010607B">
        <w:t xml:space="preserve"> </w:t>
      </w:r>
      <w:r w:rsidRPr="00581FCB">
        <w:t xml:space="preserve"> </w:t>
      </w:r>
    </w:p>
  </w:footnote>
  <w:footnote w:id="2">
    <w:p w14:paraId="4E39994A" w14:textId="23247F38" w:rsidR="0010607B" w:rsidRPr="0010607B" w:rsidRDefault="0010607B" w:rsidP="00CB21A9">
      <w:pPr>
        <w:pStyle w:val="a7"/>
      </w:pPr>
      <w:r>
        <w:rPr>
          <w:rStyle w:val="a8"/>
        </w:rPr>
        <w:footnoteRef/>
      </w:r>
      <w:r w:rsidRPr="0010607B">
        <w:t xml:space="preserve"> </w:t>
      </w:r>
      <w:r w:rsidRPr="0010607B">
        <w:t>COM (2021) 118</w:t>
      </w:r>
      <w:r>
        <w:t>,</w:t>
      </w:r>
      <w:r w:rsidRPr="0010607B">
        <w:t xml:space="preserve"> 2030 — Ψηφιακή πυξίδα:</w:t>
      </w:r>
      <w:r>
        <w:t xml:space="preserve"> </w:t>
      </w:r>
      <w:r w:rsidRPr="0010607B">
        <w:t>ο ευρωπαϊκός τρόπος για την ψηφιακή δεκαετία</w:t>
      </w:r>
    </w:p>
  </w:footnote>
  <w:footnote w:id="3">
    <w:p w14:paraId="24F89078" w14:textId="49EC88D1" w:rsidR="00CB21A9" w:rsidRPr="00CB21A9" w:rsidRDefault="00CB21A9" w:rsidP="00CB21A9">
      <w:pPr>
        <w:pStyle w:val="a7"/>
      </w:pPr>
      <w:r>
        <w:rPr>
          <w:rStyle w:val="a8"/>
        </w:rPr>
        <w:footnoteRef/>
      </w:r>
      <w:r w:rsidRPr="00CB21A9">
        <w:t xml:space="preserve"> </w:t>
      </w:r>
      <w:r w:rsidRPr="00CB21A9">
        <w:t>Σε περίπτωση που κάποιος από τους ενδιαφερομένους επιθυμεί να αποκτήσει πρόσβαση σε περεταίρω στοιχεία, μπορεί να απευθυνθεί στην ΕΕΤΤ.</w:t>
      </w:r>
    </w:p>
  </w:footnote>
  <w:footnote w:id="4">
    <w:p w14:paraId="4B3A32C3" w14:textId="40B994EF" w:rsidR="00942AFD" w:rsidRPr="00CB21A9" w:rsidRDefault="00942AFD" w:rsidP="00CB21A9">
      <w:pPr>
        <w:pStyle w:val="a7"/>
      </w:pPr>
      <w:r>
        <w:rPr>
          <w:rStyle w:val="a8"/>
        </w:rPr>
        <w:footnoteRef/>
      </w:r>
      <w:r w:rsidRPr="00CB21A9">
        <w:t xml:space="preserve"> </w:t>
      </w:r>
      <w:r w:rsidR="00CB21A9" w:rsidRPr="00942AFD">
        <w:t xml:space="preserve">Κατευθυντήριες γραμμές της ΕΕ για την εφαρμογή των κανόνων στον τομέα των κρατικών ενισχύσεων όσον αφορά την ταχεία ανάπτυξη των </w:t>
      </w:r>
      <w:proofErr w:type="spellStart"/>
      <w:r w:rsidR="00CB21A9" w:rsidRPr="00942AFD">
        <w:t>ε</w:t>
      </w:r>
      <w:r w:rsidR="00CB21A9">
        <w:t>υρυζωνικών</w:t>
      </w:r>
      <w:proofErr w:type="spellEnd"/>
      <w:r w:rsidR="00CB21A9">
        <w:t xml:space="preserve"> δικτύων 2013/C 25/01</w:t>
      </w:r>
    </w:p>
  </w:footnote>
  <w:footnote w:id="5">
    <w:p w14:paraId="3B5C27C3" w14:textId="77777777" w:rsidR="00CB21A9" w:rsidRPr="00CB21A9" w:rsidRDefault="00CB21A9" w:rsidP="00CB21A9">
      <w:pPr>
        <w:pStyle w:val="a7"/>
      </w:pPr>
      <w:r>
        <w:rPr>
          <w:rStyle w:val="a8"/>
        </w:rPr>
        <w:footnoteRef/>
      </w:r>
      <w:r w:rsidRPr="00CB21A9">
        <w:t xml:space="preserve"> </w:t>
      </w:r>
      <w:r w:rsidRPr="00CB21A9">
        <w:t>σύμφωνα με τις κατευθυντήριες γραμμές και τους ορισμούς των σχετικών εννοιών που περιλαμβάνονται στο ‘</w:t>
      </w:r>
      <w:hyperlink r:id="rId1" w:history="1">
        <w:r w:rsidRPr="0031357D">
          <w:rPr>
            <w:rStyle w:val="-"/>
          </w:rPr>
          <w:t>BEREC</w:t>
        </w:r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Guidelines</w:t>
        </w:r>
        <w:proofErr w:type="spellEnd"/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to</w:t>
        </w:r>
        <w:proofErr w:type="spellEnd"/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assist</w:t>
        </w:r>
        <w:proofErr w:type="spellEnd"/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NRAs</w:t>
        </w:r>
        <w:proofErr w:type="spellEnd"/>
        <w:r w:rsidRPr="00CB21A9">
          <w:rPr>
            <w:rStyle w:val="-"/>
          </w:rPr>
          <w:t xml:space="preserve"> </w:t>
        </w:r>
        <w:r w:rsidRPr="0031357D">
          <w:rPr>
            <w:rStyle w:val="-"/>
          </w:rPr>
          <w:t>on</w:t>
        </w:r>
        <w:r w:rsidRPr="00CB21A9">
          <w:rPr>
            <w:rStyle w:val="-"/>
          </w:rPr>
          <w:t xml:space="preserve"> </w:t>
        </w:r>
        <w:r w:rsidRPr="0031357D">
          <w:rPr>
            <w:rStyle w:val="-"/>
          </w:rPr>
          <w:t>the</w:t>
        </w:r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consistent</w:t>
        </w:r>
        <w:proofErr w:type="spellEnd"/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application</w:t>
        </w:r>
        <w:proofErr w:type="spellEnd"/>
        <w:r w:rsidRPr="00CB21A9">
          <w:rPr>
            <w:rStyle w:val="-"/>
          </w:rPr>
          <w:t xml:space="preserve"> </w:t>
        </w:r>
        <w:r w:rsidRPr="0031357D">
          <w:rPr>
            <w:rStyle w:val="-"/>
          </w:rPr>
          <w:t>of</w:t>
        </w:r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Geographical</w:t>
        </w:r>
        <w:proofErr w:type="spellEnd"/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surveys</w:t>
        </w:r>
        <w:proofErr w:type="spellEnd"/>
        <w:r w:rsidRPr="00CB21A9">
          <w:rPr>
            <w:rStyle w:val="-"/>
          </w:rPr>
          <w:t xml:space="preserve"> </w:t>
        </w:r>
        <w:r w:rsidRPr="0031357D">
          <w:rPr>
            <w:rStyle w:val="-"/>
          </w:rPr>
          <w:t>of</w:t>
        </w:r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network</w:t>
        </w:r>
        <w:proofErr w:type="spellEnd"/>
        <w:r w:rsidRPr="00CB21A9">
          <w:rPr>
            <w:rStyle w:val="-"/>
          </w:rPr>
          <w:t xml:space="preserve"> </w:t>
        </w:r>
        <w:proofErr w:type="spellStart"/>
        <w:r w:rsidRPr="0031357D">
          <w:rPr>
            <w:rStyle w:val="-"/>
          </w:rPr>
          <w:t>deployments</w:t>
        </w:r>
        <w:proofErr w:type="spellEnd"/>
      </w:hyperlink>
      <w:r w:rsidRPr="00CB21A9">
        <w:t xml:space="preserve">’ </w:t>
      </w:r>
    </w:p>
  </w:footnote>
  <w:footnote w:id="6">
    <w:p w14:paraId="68FA41D9" w14:textId="77777777" w:rsidR="00A340C1" w:rsidRPr="001E2C8A" w:rsidRDefault="00A340C1" w:rsidP="00CB21A9">
      <w:pPr>
        <w:pStyle w:val="a7"/>
        <w:rPr>
          <w:lang w:val="en-US"/>
        </w:rPr>
      </w:pPr>
      <w:r>
        <w:rPr>
          <w:rStyle w:val="a8"/>
        </w:rPr>
        <w:footnoteRef/>
      </w:r>
      <w:r w:rsidRPr="001E2C8A">
        <w:rPr>
          <w:lang w:val="en-US"/>
        </w:rPr>
        <w:t xml:space="preserve"> ‘</w:t>
      </w:r>
      <w:hyperlink r:id="rId2" w:history="1">
        <w:r w:rsidRPr="001E2C8A">
          <w:rPr>
            <w:rStyle w:val="-"/>
            <w:lang w:val="en-US"/>
          </w:rPr>
          <w:t xml:space="preserve">BEREC Guidelines on Very </w:t>
        </w:r>
        <w:proofErr w:type="gramStart"/>
        <w:r w:rsidRPr="001E2C8A">
          <w:rPr>
            <w:rStyle w:val="-"/>
            <w:lang w:val="en-US"/>
          </w:rPr>
          <w:t>High Capacity</w:t>
        </w:r>
        <w:proofErr w:type="gramEnd"/>
        <w:r w:rsidRPr="001E2C8A">
          <w:rPr>
            <w:rStyle w:val="-"/>
            <w:lang w:val="en-US"/>
          </w:rPr>
          <w:t xml:space="preserve"> Networks</w:t>
        </w:r>
      </w:hyperlink>
      <w:r w:rsidRPr="001E2C8A">
        <w:rPr>
          <w:lang w:val="en-US"/>
        </w:rPr>
        <w:t xml:space="preserve">’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73B"/>
    <w:multiLevelType w:val="hybridMultilevel"/>
    <w:tmpl w:val="DF3A72CC"/>
    <w:lvl w:ilvl="0" w:tplc="A09C25BA">
      <w:start w:val="1"/>
      <w:numFmt w:val="bullet"/>
      <w:pStyle w:val="ListBulletabl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39BD"/>
    <w:multiLevelType w:val="hybridMultilevel"/>
    <w:tmpl w:val="69066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42BF"/>
    <w:multiLevelType w:val="hybridMultilevel"/>
    <w:tmpl w:val="C2642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21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F3603"/>
    <w:multiLevelType w:val="hybridMultilevel"/>
    <w:tmpl w:val="BD68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3518"/>
    <w:multiLevelType w:val="hybridMultilevel"/>
    <w:tmpl w:val="38FC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65AF"/>
    <w:multiLevelType w:val="hybridMultilevel"/>
    <w:tmpl w:val="534CF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18A0"/>
    <w:multiLevelType w:val="hybridMultilevel"/>
    <w:tmpl w:val="221E6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01A7"/>
    <w:multiLevelType w:val="hybridMultilevel"/>
    <w:tmpl w:val="37E2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42E0"/>
    <w:multiLevelType w:val="hybridMultilevel"/>
    <w:tmpl w:val="5554FE4A"/>
    <w:lvl w:ilvl="0" w:tplc="9F2C0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E7E38"/>
    <w:multiLevelType w:val="hybridMultilevel"/>
    <w:tmpl w:val="EB42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D712F"/>
    <w:multiLevelType w:val="hybridMultilevel"/>
    <w:tmpl w:val="32347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566C"/>
    <w:multiLevelType w:val="hybridMultilevel"/>
    <w:tmpl w:val="6F20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F40A1"/>
    <w:multiLevelType w:val="hybridMultilevel"/>
    <w:tmpl w:val="BDA8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D5C0E"/>
    <w:multiLevelType w:val="hybridMultilevel"/>
    <w:tmpl w:val="C34A6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C1925"/>
    <w:multiLevelType w:val="hybridMultilevel"/>
    <w:tmpl w:val="96BC3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735785"/>
    <w:multiLevelType w:val="hybridMultilevel"/>
    <w:tmpl w:val="C4FEB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E0581"/>
    <w:multiLevelType w:val="hybridMultilevel"/>
    <w:tmpl w:val="9A74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F41A5"/>
    <w:multiLevelType w:val="hybridMultilevel"/>
    <w:tmpl w:val="0FB6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77E7B"/>
    <w:multiLevelType w:val="hybridMultilevel"/>
    <w:tmpl w:val="FC84D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E7B78"/>
    <w:multiLevelType w:val="hybridMultilevel"/>
    <w:tmpl w:val="D7CA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306F5"/>
    <w:multiLevelType w:val="hybridMultilevel"/>
    <w:tmpl w:val="40DA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7AB5"/>
    <w:multiLevelType w:val="multilevel"/>
    <w:tmpl w:val="7FCAF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4F74D70"/>
    <w:multiLevelType w:val="hybridMultilevel"/>
    <w:tmpl w:val="9C74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327C"/>
    <w:multiLevelType w:val="hybridMultilevel"/>
    <w:tmpl w:val="F2F0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B7135"/>
    <w:multiLevelType w:val="multilevel"/>
    <w:tmpl w:val="B5D0685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A6238A"/>
    <w:multiLevelType w:val="hybridMultilevel"/>
    <w:tmpl w:val="4380FC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92D47"/>
    <w:multiLevelType w:val="hybridMultilevel"/>
    <w:tmpl w:val="835A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22B5D"/>
    <w:multiLevelType w:val="hybridMultilevel"/>
    <w:tmpl w:val="C4162438"/>
    <w:lvl w:ilvl="0" w:tplc="3A66D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87362"/>
    <w:multiLevelType w:val="hybridMultilevel"/>
    <w:tmpl w:val="91DE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A1408"/>
    <w:multiLevelType w:val="hybridMultilevel"/>
    <w:tmpl w:val="8564E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95FCE"/>
    <w:multiLevelType w:val="hybridMultilevel"/>
    <w:tmpl w:val="1948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D0BBE"/>
    <w:multiLevelType w:val="hybridMultilevel"/>
    <w:tmpl w:val="5024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5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23"/>
  </w:num>
  <w:num w:numId="11">
    <w:abstractNumId w:val="30"/>
  </w:num>
  <w:num w:numId="12">
    <w:abstractNumId w:val="1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8"/>
  </w:num>
  <w:num w:numId="16">
    <w:abstractNumId w:val="9"/>
  </w:num>
  <w:num w:numId="17">
    <w:abstractNumId w:val="19"/>
  </w:num>
  <w:num w:numId="18">
    <w:abstractNumId w:val="6"/>
  </w:num>
  <w:num w:numId="19">
    <w:abstractNumId w:val="25"/>
  </w:num>
  <w:num w:numId="20">
    <w:abstractNumId w:val="13"/>
  </w:num>
  <w:num w:numId="21">
    <w:abstractNumId w:val="32"/>
  </w:num>
  <w:num w:numId="22">
    <w:abstractNumId w:val="21"/>
  </w:num>
  <w:num w:numId="23">
    <w:abstractNumId w:val="15"/>
  </w:num>
  <w:num w:numId="24">
    <w:abstractNumId w:val="2"/>
  </w:num>
  <w:num w:numId="25">
    <w:abstractNumId w:val="31"/>
  </w:num>
  <w:num w:numId="26">
    <w:abstractNumId w:val="4"/>
  </w:num>
  <w:num w:numId="27">
    <w:abstractNumId w:val="18"/>
  </w:num>
  <w:num w:numId="28">
    <w:abstractNumId w:val="20"/>
  </w:num>
  <w:num w:numId="29">
    <w:abstractNumId w:val="14"/>
  </w:num>
  <w:num w:numId="30">
    <w:abstractNumId w:val="24"/>
  </w:num>
  <w:num w:numId="31">
    <w:abstractNumId w:val="2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2"/>
  </w:num>
  <w:num w:numId="36">
    <w:abstractNumId w:val="17"/>
  </w:num>
  <w:num w:numId="37">
    <w:abstractNumId w:val="2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D4"/>
    <w:rsid w:val="000071A0"/>
    <w:rsid w:val="00010EA7"/>
    <w:rsid w:val="00021092"/>
    <w:rsid w:val="00024184"/>
    <w:rsid w:val="00026010"/>
    <w:rsid w:val="000458B6"/>
    <w:rsid w:val="00054499"/>
    <w:rsid w:val="000632D3"/>
    <w:rsid w:val="00063899"/>
    <w:rsid w:val="00066F0C"/>
    <w:rsid w:val="00070C1A"/>
    <w:rsid w:val="00073DDB"/>
    <w:rsid w:val="00074B59"/>
    <w:rsid w:val="000760CA"/>
    <w:rsid w:val="00077AC3"/>
    <w:rsid w:val="000822CA"/>
    <w:rsid w:val="000828F5"/>
    <w:rsid w:val="000903DB"/>
    <w:rsid w:val="00090420"/>
    <w:rsid w:val="000C2D14"/>
    <w:rsid w:val="000C76DA"/>
    <w:rsid w:val="000D1A26"/>
    <w:rsid w:val="000E0878"/>
    <w:rsid w:val="000E3966"/>
    <w:rsid w:val="000E3C87"/>
    <w:rsid w:val="000F30F5"/>
    <w:rsid w:val="000F5050"/>
    <w:rsid w:val="00104C6B"/>
    <w:rsid w:val="0010607B"/>
    <w:rsid w:val="00106DE6"/>
    <w:rsid w:val="001109DD"/>
    <w:rsid w:val="00111701"/>
    <w:rsid w:val="00114678"/>
    <w:rsid w:val="00125F2E"/>
    <w:rsid w:val="00127065"/>
    <w:rsid w:val="00132092"/>
    <w:rsid w:val="001340AB"/>
    <w:rsid w:val="0014136C"/>
    <w:rsid w:val="00144547"/>
    <w:rsid w:val="001504F5"/>
    <w:rsid w:val="00152119"/>
    <w:rsid w:val="00152C45"/>
    <w:rsid w:val="00155756"/>
    <w:rsid w:val="0015702E"/>
    <w:rsid w:val="001842DC"/>
    <w:rsid w:val="0019423C"/>
    <w:rsid w:val="001A47FF"/>
    <w:rsid w:val="001A711B"/>
    <w:rsid w:val="001B5565"/>
    <w:rsid w:val="001B7266"/>
    <w:rsid w:val="001C07CF"/>
    <w:rsid w:val="001C0FE6"/>
    <w:rsid w:val="001C647A"/>
    <w:rsid w:val="001D2C79"/>
    <w:rsid w:val="001D525D"/>
    <w:rsid w:val="001D7949"/>
    <w:rsid w:val="001E2C8A"/>
    <w:rsid w:val="001F45A2"/>
    <w:rsid w:val="00217F2E"/>
    <w:rsid w:val="00231EFB"/>
    <w:rsid w:val="00235483"/>
    <w:rsid w:val="00244B89"/>
    <w:rsid w:val="00245A2A"/>
    <w:rsid w:val="00253BE4"/>
    <w:rsid w:val="00265770"/>
    <w:rsid w:val="00267FB0"/>
    <w:rsid w:val="002735E6"/>
    <w:rsid w:val="00276011"/>
    <w:rsid w:val="00282E1C"/>
    <w:rsid w:val="00285E52"/>
    <w:rsid w:val="002866F6"/>
    <w:rsid w:val="00297F96"/>
    <w:rsid w:val="002A3022"/>
    <w:rsid w:val="002B1DAE"/>
    <w:rsid w:val="002B317F"/>
    <w:rsid w:val="002B3994"/>
    <w:rsid w:val="002D11FE"/>
    <w:rsid w:val="002D3556"/>
    <w:rsid w:val="002D6C02"/>
    <w:rsid w:val="002E786F"/>
    <w:rsid w:val="002F03DC"/>
    <w:rsid w:val="002F254B"/>
    <w:rsid w:val="002F6803"/>
    <w:rsid w:val="003040B2"/>
    <w:rsid w:val="00320F9F"/>
    <w:rsid w:val="00334F7A"/>
    <w:rsid w:val="00335226"/>
    <w:rsid w:val="00337831"/>
    <w:rsid w:val="00341831"/>
    <w:rsid w:val="003465FF"/>
    <w:rsid w:val="003507F4"/>
    <w:rsid w:val="003554F8"/>
    <w:rsid w:val="003B4F6A"/>
    <w:rsid w:val="003B610C"/>
    <w:rsid w:val="003B7030"/>
    <w:rsid w:val="003C00E9"/>
    <w:rsid w:val="003C25A3"/>
    <w:rsid w:val="003C3956"/>
    <w:rsid w:val="003C3EA7"/>
    <w:rsid w:val="003C7A20"/>
    <w:rsid w:val="003D39C0"/>
    <w:rsid w:val="003D3C78"/>
    <w:rsid w:val="003E7D57"/>
    <w:rsid w:val="00403A76"/>
    <w:rsid w:val="00405559"/>
    <w:rsid w:val="004074BB"/>
    <w:rsid w:val="00421718"/>
    <w:rsid w:val="0043349D"/>
    <w:rsid w:val="0044337A"/>
    <w:rsid w:val="00446302"/>
    <w:rsid w:val="004506E1"/>
    <w:rsid w:val="004524F3"/>
    <w:rsid w:val="00454D91"/>
    <w:rsid w:val="00467E43"/>
    <w:rsid w:val="00473052"/>
    <w:rsid w:val="00482E2C"/>
    <w:rsid w:val="00483E4D"/>
    <w:rsid w:val="00492D12"/>
    <w:rsid w:val="00496002"/>
    <w:rsid w:val="004A1777"/>
    <w:rsid w:val="004A6307"/>
    <w:rsid w:val="004B1774"/>
    <w:rsid w:val="004B4A00"/>
    <w:rsid w:val="004C71D6"/>
    <w:rsid w:val="004C76D8"/>
    <w:rsid w:val="004E1648"/>
    <w:rsid w:val="004E65D2"/>
    <w:rsid w:val="004E7F79"/>
    <w:rsid w:val="004F3027"/>
    <w:rsid w:val="004F46C4"/>
    <w:rsid w:val="00511167"/>
    <w:rsid w:val="005164E6"/>
    <w:rsid w:val="00520673"/>
    <w:rsid w:val="00521F6B"/>
    <w:rsid w:val="005232BF"/>
    <w:rsid w:val="00532668"/>
    <w:rsid w:val="005420E7"/>
    <w:rsid w:val="0054533E"/>
    <w:rsid w:val="00546059"/>
    <w:rsid w:val="005473EB"/>
    <w:rsid w:val="00551012"/>
    <w:rsid w:val="00567435"/>
    <w:rsid w:val="00571574"/>
    <w:rsid w:val="00580216"/>
    <w:rsid w:val="005810EB"/>
    <w:rsid w:val="00581FCB"/>
    <w:rsid w:val="00582E91"/>
    <w:rsid w:val="00591F65"/>
    <w:rsid w:val="005A39B9"/>
    <w:rsid w:val="005A79A1"/>
    <w:rsid w:val="005B14C2"/>
    <w:rsid w:val="005B4214"/>
    <w:rsid w:val="005B6B64"/>
    <w:rsid w:val="005C0D0E"/>
    <w:rsid w:val="005C65C5"/>
    <w:rsid w:val="005D2D9B"/>
    <w:rsid w:val="005D3B3D"/>
    <w:rsid w:val="005D4405"/>
    <w:rsid w:val="005D6CD2"/>
    <w:rsid w:val="005E3633"/>
    <w:rsid w:val="006030EC"/>
    <w:rsid w:val="0060327A"/>
    <w:rsid w:val="00605174"/>
    <w:rsid w:val="00606A43"/>
    <w:rsid w:val="006163B7"/>
    <w:rsid w:val="00623109"/>
    <w:rsid w:val="00623111"/>
    <w:rsid w:val="00623490"/>
    <w:rsid w:val="006307E9"/>
    <w:rsid w:val="006541A2"/>
    <w:rsid w:val="00655D33"/>
    <w:rsid w:val="006573C1"/>
    <w:rsid w:val="00661F3B"/>
    <w:rsid w:val="0066681D"/>
    <w:rsid w:val="0068072F"/>
    <w:rsid w:val="0068083A"/>
    <w:rsid w:val="00680CEB"/>
    <w:rsid w:val="00682D6E"/>
    <w:rsid w:val="006860A3"/>
    <w:rsid w:val="00687634"/>
    <w:rsid w:val="0068780C"/>
    <w:rsid w:val="00697D3F"/>
    <w:rsid w:val="006A09C2"/>
    <w:rsid w:val="006A68E8"/>
    <w:rsid w:val="006B6655"/>
    <w:rsid w:val="006C39DB"/>
    <w:rsid w:val="006C74A2"/>
    <w:rsid w:val="006D09B2"/>
    <w:rsid w:val="006D30AE"/>
    <w:rsid w:val="006E3548"/>
    <w:rsid w:val="006E5BD5"/>
    <w:rsid w:val="006F335F"/>
    <w:rsid w:val="006F3D2C"/>
    <w:rsid w:val="006F3EDE"/>
    <w:rsid w:val="006F49C2"/>
    <w:rsid w:val="006F4F83"/>
    <w:rsid w:val="006F5251"/>
    <w:rsid w:val="006F67E1"/>
    <w:rsid w:val="00707A0D"/>
    <w:rsid w:val="007135B8"/>
    <w:rsid w:val="007140CF"/>
    <w:rsid w:val="0071577F"/>
    <w:rsid w:val="00722223"/>
    <w:rsid w:val="00732462"/>
    <w:rsid w:val="007324D5"/>
    <w:rsid w:val="007401A9"/>
    <w:rsid w:val="00741D46"/>
    <w:rsid w:val="00742978"/>
    <w:rsid w:val="0074336D"/>
    <w:rsid w:val="00743DC1"/>
    <w:rsid w:val="00746EFD"/>
    <w:rsid w:val="00753241"/>
    <w:rsid w:val="00763CE0"/>
    <w:rsid w:val="0076598C"/>
    <w:rsid w:val="0077277F"/>
    <w:rsid w:val="00773BBD"/>
    <w:rsid w:val="00782DA4"/>
    <w:rsid w:val="00790CDE"/>
    <w:rsid w:val="0079109D"/>
    <w:rsid w:val="007943C4"/>
    <w:rsid w:val="007B4ACB"/>
    <w:rsid w:val="007B5FA0"/>
    <w:rsid w:val="007C0D6A"/>
    <w:rsid w:val="007D40AD"/>
    <w:rsid w:val="007E1D0A"/>
    <w:rsid w:val="007F25EF"/>
    <w:rsid w:val="00800345"/>
    <w:rsid w:val="00804EEB"/>
    <w:rsid w:val="0080658B"/>
    <w:rsid w:val="00806C3D"/>
    <w:rsid w:val="00807022"/>
    <w:rsid w:val="00807FB1"/>
    <w:rsid w:val="0081168D"/>
    <w:rsid w:val="00811FE0"/>
    <w:rsid w:val="00813F6D"/>
    <w:rsid w:val="00814A33"/>
    <w:rsid w:val="00816665"/>
    <w:rsid w:val="00822305"/>
    <w:rsid w:val="0082392B"/>
    <w:rsid w:val="00825141"/>
    <w:rsid w:val="00825290"/>
    <w:rsid w:val="00834C5F"/>
    <w:rsid w:val="00834E45"/>
    <w:rsid w:val="00837FC0"/>
    <w:rsid w:val="008647B0"/>
    <w:rsid w:val="00865C4F"/>
    <w:rsid w:val="00870797"/>
    <w:rsid w:val="00881239"/>
    <w:rsid w:val="008828F3"/>
    <w:rsid w:val="00884DF1"/>
    <w:rsid w:val="0088716E"/>
    <w:rsid w:val="008902F2"/>
    <w:rsid w:val="00893DA5"/>
    <w:rsid w:val="008A1E72"/>
    <w:rsid w:val="008A4661"/>
    <w:rsid w:val="008A5B43"/>
    <w:rsid w:val="008C1290"/>
    <w:rsid w:val="008C21E0"/>
    <w:rsid w:val="008C2794"/>
    <w:rsid w:val="008C3B57"/>
    <w:rsid w:val="008C3E3B"/>
    <w:rsid w:val="008C6BE4"/>
    <w:rsid w:val="008D7F61"/>
    <w:rsid w:val="008E22CC"/>
    <w:rsid w:val="008E310F"/>
    <w:rsid w:val="008E4026"/>
    <w:rsid w:val="008E5E68"/>
    <w:rsid w:val="009011EB"/>
    <w:rsid w:val="00905D2F"/>
    <w:rsid w:val="00907E3F"/>
    <w:rsid w:val="00912B5D"/>
    <w:rsid w:val="00915EDE"/>
    <w:rsid w:val="00920C68"/>
    <w:rsid w:val="0092639B"/>
    <w:rsid w:val="00934288"/>
    <w:rsid w:val="009368ED"/>
    <w:rsid w:val="00936AEE"/>
    <w:rsid w:val="00942AFD"/>
    <w:rsid w:val="0095059E"/>
    <w:rsid w:val="009512DE"/>
    <w:rsid w:val="00952D47"/>
    <w:rsid w:val="00955FF5"/>
    <w:rsid w:val="009604B8"/>
    <w:rsid w:val="0096739B"/>
    <w:rsid w:val="009732B1"/>
    <w:rsid w:val="00975FC4"/>
    <w:rsid w:val="009763AC"/>
    <w:rsid w:val="00977C28"/>
    <w:rsid w:val="0098486B"/>
    <w:rsid w:val="0098587F"/>
    <w:rsid w:val="00986A37"/>
    <w:rsid w:val="009A20C5"/>
    <w:rsid w:val="009B198D"/>
    <w:rsid w:val="009C287E"/>
    <w:rsid w:val="009C7BCC"/>
    <w:rsid w:val="009D0E1F"/>
    <w:rsid w:val="009F0184"/>
    <w:rsid w:val="00A074E0"/>
    <w:rsid w:val="00A0797A"/>
    <w:rsid w:val="00A1359B"/>
    <w:rsid w:val="00A14A1B"/>
    <w:rsid w:val="00A208A4"/>
    <w:rsid w:val="00A3232B"/>
    <w:rsid w:val="00A340C1"/>
    <w:rsid w:val="00A35DE7"/>
    <w:rsid w:val="00A36446"/>
    <w:rsid w:val="00A45FB2"/>
    <w:rsid w:val="00A47406"/>
    <w:rsid w:val="00A5310C"/>
    <w:rsid w:val="00A53164"/>
    <w:rsid w:val="00A757FA"/>
    <w:rsid w:val="00A77631"/>
    <w:rsid w:val="00A83DAA"/>
    <w:rsid w:val="00A8557F"/>
    <w:rsid w:val="00A91164"/>
    <w:rsid w:val="00A9137B"/>
    <w:rsid w:val="00AA3B6C"/>
    <w:rsid w:val="00AB2023"/>
    <w:rsid w:val="00AB4421"/>
    <w:rsid w:val="00AC7D76"/>
    <w:rsid w:val="00AE6243"/>
    <w:rsid w:val="00AE78B4"/>
    <w:rsid w:val="00AF38E7"/>
    <w:rsid w:val="00AF4120"/>
    <w:rsid w:val="00AF50C6"/>
    <w:rsid w:val="00AF627E"/>
    <w:rsid w:val="00AF642E"/>
    <w:rsid w:val="00B0749B"/>
    <w:rsid w:val="00B15B8A"/>
    <w:rsid w:val="00B15E17"/>
    <w:rsid w:val="00B22265"/>
    <w:rsid w:val="00B22579"/>
    <w:rsid w:val="00B22AE2"/>
    <w:rsid w:val="00B35EDD"/>
    <w:rsid w:val="00B47C4A"/>
    <w:rsid w:val="00B601FB"/>
    <w:rsid w:val="00B83D2B"/>
    <w:rsid w:val="00B876A9"/>
    <w:rsid w:val="00B917DF"/>
    <w:rsid w:val="00B97E85"/>
    <w:rsid w:val="00BA0A34"/>
    <w:rsid w:val="00BA2191"/>
    <w:rsid w:val="00BA4E52"/>
    <w:rsid w:val="00BA7827"/>
    <w:rsid w:val="00BB0DF7"/>
    <w:rsid w:val="00BB55D2"/>
    <w:rsid w:val="00BC0190"/>
    <w:rsid w:val="00BC0DD7"/>
    <w:rsid w:val="00BC3A1A"/>
    <w:rsid w:val="00BC6697"/>
    <w:rsid w:val="00BD0960"/>
    <w:rsid w:val="00BD5576"/>
    <w:rsid w:val="00BE3666"/>
    <w:rsid w:val="00BE40A3"/>
    <w:rsid w:val="00BE4350"/>
    <w:rsid w:val="00BE60BF"/>
    <w:rsid w:val="00BE7D9A"/>
    <w:rsid w:val="00BF78E3"/>
    <w:rsid w:val="00C072C3"/>
    <w:rsid w:val="00C3096F"/>
    <w:rsid w:val="00C347A0"/>
    <w:rsid w:val="00C45104"/>
    <w:rsid w:val="00C47B35"/>
    <w:rsid w:val="00C507A9"/>
    <w:rsid w:val="00C57D79"/>
    <w:rsid w:val="00C632F0"/>
    <w:rsid w:val="00C642F1"/>
    <w:rsid w:val="00C74BD4"/>
    <w:rsid w:val="00C77E38"/>
    <w:rsid w:val="00C82890"/>
    <w:rsid w:val="00C83F8C"/>
    <w:rsid w:val="00C855B3"/>
    <w:rsid w:val="00C85B67"/>
    <w:rsid w:val="00C966FC"/>
    <w:rsid w:val="00CA0EC2"/>
    <w:rsid w:val="00CA4AEE"/>
    <w:rsid w:val="00CB0FD7"/>
    <w:rsid w:val="00CB21A9"/>
    <w:rsid w:val="00CB2C67"/>
    <w:rsid w:val="00CB30CF"/>
    <w:rsid w:val="00CB7DCC"/>
    <w:rsid w:val="00CC79C4"/>
    <w:rsid w:val="00CD1CC8"/>
    <w:rsid w:val="00CD4731"/>
    <w:rsid w:val="00CD4C2D"/>
    <w:rsid w:val="00CD521C"/>
    <w:rsid w:val="00CF1014"/>
    <w:rsid w:val="00CF37C2"/>
    <w:rsid w:val="00D0568C"/>
    <w:rsid w:val="00D06615"/>
    <w:rsid w:val="00D1036C"/>
    <w:rsid w:val="00D22469"/>
    <w:rsid w:val="00D24EA3"/>
    <w:rsid w:val="00D40476"/>
    <w:rsid w:val="00D503ED"/>
    <w:rsid w:val="00D61D3E"/>
    <w:rsid w:val="00D62223"/>
    <w:rsid w:val="00D641DB"/>
    <w:rsid w:val="00D72886"/>
    <w:rsid w:val="00D767FB"/>
    <w:rsid w:val="00D90AFE"/>
    <w:rsid w:val="00D90F13"/>
    <w:rsid w:val="00D934C3"/>
    <w:rsid w:val="00D97DF4"/>
    <w:rsid w:val="00D97F2E"/>
    <w:rsid w:val="00DA0C80"/>
    <w:rsid w:val="00DA2661"/>
    <w:rsid w:val="00DB0D06"/>
    <w:rsid w:val="00DC447C"/>
    <w:rsid w:val="00DD0EED"/>
    <w:rsid w:val="00DE0ECE"/>
    <w:rsid w:val="00DE5B5A"/>
    <w:rsid w:val="00E01CC8"/>
    <w:rsid w:val="00E25BA0"/>
    <w:rsid w:val="00E34737"/>
    <w:rsid w:val="00E3777E"/>
    <w:rsid w:val="00E42678"/>
    <w:rsid w:val="00E443A3"/>
    <w:rsid w:val="00E50506"/>
    <w:rsid w:val="00E513C8"/>
    <w:rsid w:val="00E52710"/>
    <w:rsid w:val="00E63BAC"/>
    <w:rsid w:val="00E82AB9"/>
    <w:rsid w:val="00E83107"/>
    <w:rsid w:val="00E960D8"/>
    <w:rsid w:val="00E96D24"/>
    <w:rsid w:val="00EC0338"/>
    <w:rsid w:val="00EC494C"/>
    <w:rsid w:val="00EC4A07"/>
    <w:rsid w:val="00ED3262"/>
    <w:rsid w:val="00ED50A9"/>
    <w:rsid w:val="00ED667F"/>
    <w:rsid w:val="00EF455A"/>
    <w:rsid w:val="00EF5C97"/>
    <w:rsid w:val="00F0556B"/>
    <w:rsid w:val="00F07200"/>
    <w:rsid w:val="00F0726D"/>
    <w:rsid w:val="00F14A95"/>
    <w:rsid w:val="00F22025"/>
    <w:rsid w:val="00F23321"/>
    <w:rsid w:val="00F23515"/>
    <w:rsid w:val="00F23517"/>
    <w:rsid w:val="00F274C1"/>
    <w:rsid w:val="00F41CF9"/>
    <w:rsid w:val="00F436CB"/>
    <w:rsid w:val="00F4482A"/>
    <w:rsid w:val="00F46C60"/>
    <w:rsid w:val="00F47BE0"/>
    <w:rsid w:val="00F56775"/>
    <w:rsid w:val="00F62291"/>
    <w:rsid w:val="00F731DB"/>
    <w:rsid w:val="00F77883"/>
    <w:rsid w:val="00F85716"/>
    <w:rsid w:val="00F93C77"/>
    <w:rsid w:val="00FA0234"/>
    <w:rsid w:val="00FA1006"/>
    <w:rsid w:val="00FA7BEF"/>
    <w:rsid w:val="00FB2D85"/>
    <w:rsid w:val="00FC7A0A"/>
    <w:rsid w:val="00FD3BB5"/>
    <w:rsid w:val="00FF4E00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6D89"/>
  <w15:docId w15:val="{7A8D4F3C-630C-4010-91DD-DA28481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A9"/>
    <w:pPr>
      <w:spacing w:line="360" w:lineRule="auto"/>
      <w:jc w:val="both"/>
    </w:pPr>
    <w:rPr>
      <w:rFonts w:ascii="Tahoma" w:hAnsi="Tahoma" w:cs="Tahoma"/>
      <w:lang w:val="el-GR"/>
    </w:rPr>
  </w:style>
  <w:style w:type="paragraph" w:styleId="1">
    <w:name w:val="heading 1"/>
    <w:basedOn w:val="a"/>
    <w:next w:val="a"/>
    <w:link w:val="1Char"/>
    <w:qFormat/>
    <w:rsid w:val="000071A0"/>
    <w:pPr>
      <w:keepNext/>
      <w:keepLines/>
      <w:numPr>
        <w:numId w:val="2"/>
      </w:numPr>
      <w:shd w:val="clear" w:color="auto" w:fill="D9D9D9"/>
      <w:tabs>
        <w:tab w:val="left" w:pos="567"/>
      </w:tabs>
      <w:spacing w:before="120" w:after="0" w:line="240" w:lineRule="auto"/>
      <w:outlineLvl w:val="0"/>
    </w:pPr>
    <w:rPr>
      <w:rFonts w:ascii="Arial Narrow" w:eastAsia="Calibri" w:hAnsi="Arial Narrow" w:cs="Times New Roman"/>
      <w:b/>
      <w:bCs/>
      <w:color w:val="990000"/>
      <w:sz w:val="32"/>
      <w:szCs w:val="28"/>
    </w:rPr>
  </w:style>
  <w:style w:type="paragraph" w:styleId="2">
    <w:name w:val="heading 2"/>
    <w:basedOn w:val="a"/>
    <w:next w:val="a"/>
    <w:link w:val="2Char"/>
    <w:qFormat/>
    <w:rsid w:val="00655D33"/>
    <w:pPr>
      <w:keepNext/>
      <w:keepLines/>
      <w:numPr>
        <w:ilvl w:val="1"/>
        <w:numId w:val="2"/>
      </w:numPr>
      <w:tabs>
        <w:tab w:val="left" w:pos="709"/>
      </w:tabs>
      <w:spacing w:before="240" w:after="0" w:line="240" w:lineRule="auto"/>
      <w:ind w:left="578" w:hanging="578"/>
      <w:outlineLvl w:val="1"/>
    </w:pPr>
    <w:rPr>
      <w:rFonts w:ascii="Arial Narrow" w:eastAsia="Calibri" w:hAnsi="Arial Narrow" w:cs="Times New Roman"/>
      <w:b/>
      <w:bCs/>
      <w:color w:val="990000"/>
      <w:sz w:val="28"/>
      <w:szCs w:val="26"/>
    </w:rPr>
  </w:style>
  <w:style w:type="paragraph" w:styleId="3">
    <w:name w:val="heading 3"/>
    <w:basedOn w:val="a"/>
    <w:next w:val="a"/>
    <w:link w:val="3Char"/>
    <w:qFormat/>
    <w:rsid w:val="00E83107"/>
    <w:pPr>
      <w:keepNext/>
      <w:keepLines/>
      <w:numPr>
        <w:ilvl w:val="2"/>
        <w:numId w:val="2"/>
      </w:numPr>
      <w:tabs>
        <w:tab w:val="left" w:pos="709"/>
      </w:tabs>
      <w:spacing w:before="120" w:after="0" w:line="240" w:lineRule="auto"/>
      <w:ind w:left="720"/>
      <w:outlineLvl w:val="2"/>
    </w:pPr>
    <w:rPr>
      <w:rFonts w:ascii="Arial Narrow" w:eastAsia="Calibri" w:hAnsi="Arial Narrow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qFormat/>
    <w:rsid w:val="000071A0"/>
    <w:pPr>
      <w:keepNext/>
      <w:keepLines/>
      <w:numPr>
        <w:ilvl w:val="3"/>
        <w:numId w:val="2"/>
      </w:numPr>
      <w:tabs>
        <w:tab w:val="left" w:pos="851"/>
      </w:tabs>
      <w:spacing w:before="200" w:after="0" w:line="240" w:lineRule="auto"/>
      <w:outlineLvl w:val="3"/>
    </w:pPr>
    <w:rPr>
      <w:rFonts w:ascii="Arial Narrow" w:eastAsia="Calibri" w:hAnsi="Arial Narrow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qFormat/>
    <w:rsid w:val="000071A0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Arial Narrow" w:eastAsia="Calibri" w:hAnsi="Arial Narrow" w:cs="Times New Roman"/>
      <w:color w:val="990000"/>
      <w:szCs w:val="24"/>
    </w:rPr>
  </w:style>
  <w:style w:type="paragraph" w:styleId="6">
    <w:name w:val="heading 6"/>
    <w:basedOn w:val="a"/>
    <w:next w:val="a"/>
    <w:link w:val="6Char"/>
    <w:qFormat/>
    <w:rsid w:val="000071A0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Cs w:val="24"/>
    </w:rPr>
  </w:style>
  <w:style w:type="paragraph" w:styleId="7">
    <w:name w:val="heading 7"/>
    <w:basedOn w:val="a"/>
    <w:next w:val="a"/>
    <w:link w:val="7Char"/>
    <w:qFormat/>
    <w:rsid w:val="000071A0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Cs w:val="24"/>
    </w:rPr>
  </w:style>
  <w:style w:type="paragraph" w:styleId="8">
    <w:name w:val="heading 8"/>
    <w:basedOn w:val="a"/>
    <w:next w:val="a"/>
    <w:link w:val="8Char"/>
    <w:qFormat/>
    <w:rsid w:val="000071A0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qFormat/>
    <w:rsid w:val="000071A0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071A0"/>
    <w:rPr>
      <w:rFonts w:ascii="Arial Narrow" w:eastAsia="Calibri" w:hAnsi="Arial Narrow" w:cs="Times New Roman"/>
      <w:b/>
      <w:bCs/>
      <w:color w:val="990000"/>
      <w:sz w:val="32"/>
      <w:szCs w:val="28"/>
      <w:shd w:val="clear" w:color="auto" w:fill="D9D9D9"/>
    </w:rPr>
  </w:style>
  <w:style w:type="character" w:customStyle="1" w:styleId="2Char">
    <w:name w:val="Επικεφαλίδα 2 Char"/>
    <w:basedOn w:val="a0"/>
    <w:link w:val="2"/>
    <w:rsid w:val="00655D33"/>
    <w:rPr>
      <w:rFonts w:ascii="Arial Narrow" w:eastAsia="Calibri" w:hAnsi="Arial Narrow" w:cs="Times New Roman"/>
      <w:b/>
      <w:bCs/>
      <w:color w:val="990000"/>
      <w:sz w:val="28"/>
      <w:szCs w:val="26"/>
      <w:lang w:val="el-GR"/>
    </w:rPr>
  </w:style>
  <w:style w:type="character" w:customStyle="1" w:styleId="3Char">
    <w:name w:val="Επικεφαλίδα 3 Char"/>
    <w:basedOn w:val="a0"/>
    <w:link w:val="3"/>
    <w:rsid w:val="00E83107"/>
    <w:rPr>
      <w:rFonts w:ascii="Arial Narrow" w:eastAsia="Calibri" w:hAnsi="Arial Narrow" w:cs="Times New Roman"/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0071A0"/>
    <w:rPr>
      <w:rFonts w:ascii="Arial Narrow" w:eastAsia="Calibri" w:hAnsi="Arial Narrow" w:cs="Times New Roman"/>
      <w:b/>
      <w:bCs/>
      <w:i/>
      <w:iCs/>
      <w:color w:val="4F81BD"/>
      <w:sz w:val="24"/>
      <w:szCs w:val="24"/>
    </w:rPr>
  </w:style>
  <w:style w:type="character" w:customStyle="1" w:styleId="5Char">
    <w:name w:val="Επικεφαλίδα 5 Char"/>
    <w:basedOn w:val="a0"/>
    <w:link w:val="5"/>
    <w:rsid w:val="000071A0"/>
    <w:rPr>
      <w:rFonts w:ascii="Arial Narrow" w:eastAsia="Calibri" w:hAnsi="Arial Narrow" w:cs="Times New Roman"/>
      <w:color w:val="990000"/>
      <w:szCs w:val="24"/>
    </w:rPr>
  </w:style>
  <w:style w:type="character" w:customStyle="1" w:styleId="6Char">
    <w:name w:val="Επικεφαλίδα 6 Char"/>
    <w:basedOn w:val="a0"/>
    <w:link w:val="6"/>
    <w:rsid w:val="000071A0"/>
    <w:rPr>
      <w:rFonts w:ascii="Cambria" w:eastAsia="Calibri" w:hAnsi="Cambria" w:cs="Times New Roman"/>
      <w:i/>
      <w:iCs/>
      <w:color w:val="243F60"/>
      <w:szCs w:val="24"/>
    </w:rPr>
  </w:style>
  <w:style w:type="character" w:customStyle="1" w:styleId="7Char">
    <w:name w:val="Επικεφαλίδα 7 Char"/>
    <w:basedOn w:val="a0"/>
    <w:link w:val="7"/>
    <w:rsid w:val="000071A0"/>
    <w:rPr>
      <w:rFonts w:ascii="Cambria" w:eastAsia="Calibri" w:hAnsi="Cambria" w:cs="Times New Roman"/>
      <w:i/>
      <w:iCs/>
      <w:color w:val="404040"/>
      <w:szCs w:val="24"/>
    </w:rPr>
  </w:style>
  <w:style w:type="character" w:customStyle="1" w:styleId="8Char">
    <w:name w:val="Επικεφαλίδα 8 Char"/>
    <w:basedOn w:val="a0"/>
    <w:link w:val="8"/>
    <w:rsid w:val="000071A0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rsid w:val="000071A0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customStyle="1" w:styleId="ListBulletables">
    <w:name w:val="List Bulle tables"/>
    <w:basedOn w:val="a"/>
    <w:rsid w:val="000071A0"/>
    <w:pPr>
      <w:numPr>
        <w:numId w:val="1"/>
      </w:numPr>
      <w:spacing w:before="120" w:after="60" w:line="264" w:lineRule="auto"/>
    </w:pPr>
    <w:rPr>
      <w:rFonts w:ascii="Arial Narrow" w:eastAsia="Calibri" w:hAnsi="Arial Narrow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007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71A0"/>
  </w:style>
  <w:style w:type="paragraph" w:styleId="a4">
    <w:name w:val="footer"/>
    <w:basedOn w:val="a"/>
    <w:link w:val="Char0"/>
    <w:uiPriority w:val="99"/>
    <w:unhideWhenUsed/>
    <w:rsid w:val="00007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71A0"/>
  </w:style>
  <w:style w:type="paragraph" w:styleId="a5">
    <w:name w:val="Balloon Text"/>
    <w:basedOn w:val="a"/>
    <w:link w:val="Char1"/>
    <w:uiPriority w:val="99"/>
    <w:semiHidden/>
    <w:unhideWhenUsed/>
    <w:rsid w:val="000071A0"/>
    <w:pPr>
      <w:spacing w:after="0" w:line="240" w:lineRule="auto"/>
    </w:pPr>
    <w:rPr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7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3B57"/>
    <w:pPr>
      <w:ind w:left="720"/>
      <w:contextualSpacing/>
    </w:pPr>
  </w:style>
  <w:style w:type="paragraph" w:styleId="a7">
    <w:name w:val="footnote text"/>
    <w:aliases w:val="Point 3 Char,Footnote text,ESPON Footnote Text,Schriftart: 9 pt,Schriftart: 10 pt,Schriftart: 8 pt,Char Char Char,Κείμενο υποσημείωσης-KATERINA,Char Char Char Char Char,Char,Κείμενο υποσημείωσης Char"/>
    <w:basedOn w:val="a"/>
    <w:link w:val="Char10"/>
    <w:uiPriority w:val="99"/>
    <w:unhideWhenUsed/>
    <w:qFormat/>
    <w:rsid w:val="00955FF5"/>
    <w:pPr>
      <w:spacing w:after="0" w:line="240" w:lineRule="auto"/>
    </w:pPr>
    <w:rPr>
      <w:sz w:val="20"/>
      <w:szCs w:val="20"/>
    </w:rPr>
  </w:style>
  <w:style w:type="character" w:customStyle="1" w:styleId="Char10">
    <w:name w:val="Κείμενο υποσημείωσης Char1"/>
    <w:aliases w:val="Point 3 Char Char,Footnote text Char,ESPON Footnote Text Char,Schriftart: 9 pt Char,Schriftart: 10 pt Char,Schriftart: 8 pt Char,Char Char Char Char,Κείμενο υποσημείωσης-KATERINA Char,Char Char Char Char Char Char,Char Char"/>
    <w:basedOn w:val="a0"/>
    <w:link w:val="a7"/>
    <w:uiPriority w:val="99"/>
    <w:rsid w:val="00955FF5"/>
    <w:rPr>
      <w:sz w:val="20"/>
      <w:szCs w:val="20"/>
    </w:rPr>
  </w:style>
  <w:style w:type="character" w:styleId="a8">
    <w:name w:val="footnote reference"/>
    <w:aliases w:val="Footnote number,Footnote symbol,fr,o,Footnote,υποσημείωση1,Footnote reference number,note TESI,stylish,Ref,de nota al pie,Footnote Reference1,ftref,Footnotes refss,Fussnota,Times 10 Point,Exposant 3 Point,EN Footnote Reference,FR"/>
    <w:basedOn w:val="a0"/>
    <w:uiPriority w:val="99"/>
    <w:unhideWhenUsed/>
    <w:rsid w:val="00955FF5"/>
    <w:rPr>
      <w:vertAlign w:val="superscript"/>
    </w:rPr>
  </w:style>
  <w:style w:type="character" w:styleId="-">
    <w:name w:val="Hyperlink"/>
    <w:basedOn w:val="a0"/>
    <w:uiPriority w:val="99"/>
    <w:unhideWhenUsed/>
    <w:rsid w:val="00B15B8A"/>
    <w:rPr>
      <w:color w:val="0000FF"/>
      <w:u w:val="single"/>
    </w:rPr>
  </w:style>
  <w:style w:type="character" w:customStyle="1" w:styleId="super">
    <w:name w:val="super"/>
    <w:basedOn w:val="a0"/>
    <w:rsid w:val="00B15B8A"/>
  </w:style>
  <w:style w:type="table" w:styleId="a9">
    <w:name w:val="Table Grid"/>
    <w:basedOn w:val="a1"/>
    <w:uiPriority w:val="59"/>
    <w:rsid w:val="006B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6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character" w:styleId="aa">
    <w:name w:val="annotation reference"/>
    <w:basedOn w:val="a0"/>
    <w:uiPriority w:val="99"/>
    <w:semiHidden/>
    <w:unhideWhenUsed/>
    <w:rsid w:val="00077AC3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077AC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077AC3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77AC3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077AC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077AC3"/>
    <w:pPr>
      <w:spacing w:after="0" w:line="240" w:lineRule="auto"/>
    </w:pPr>
  </w:style>
  <w:style w:type="paragraph" w:styleId="ae">
    <w:name w:val="Title"/>
    <w:basedOn w:val="a"/>
    <w:next w:val="a"/>
    <w:link w:val="Char4"/>
    <w:uiPriority w:val="10"/>
    <w:qFormat/>
    <w:rsid w:val="001E2C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1E2C8A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erec.europa.eu/eng/document_register/subject_matter/berec/regulatory_best_practices/guidelines/9439-berec-guidelines-on-very-high-capacity-networks" TargetMode="External"/><Relationship Id="rId1" Type="http://schemas.openxmlformats.org/officeDocument/2006/relationships/hyperlink" Target="https://berec.europa.eu/eng/document_register/subject_matter/berec/regulatory_best_practices/guidelines/9027-berec-guidelines-to-assist-nras-on-the-consistent-application-of-geographical-surveys-of-network-deploymen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5578-F43A-4765-A751-9572F2A8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ΑΝΝΑ ΠΑΝΑΓΟΥ</cp:lastModifiedBy>
  <cp:revision>2</cp:revision>
  <cp:lastPrinted>2017-08-10T06:08:00Z</cp:lastPrinted>
  <dcterms:created xsi:type="dcterms:W3CDTF">2021-05-24T15:49:00Z</dcterms:created>
  <dcterms:modified xsi:type="dcterms:W3CDTF">2021-05-24T15:49:00Z</dcterms:modified>
</cp:coreProperties>
</file>