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9B35" w14:textId="3ABFD934" w:rsidR="00622DE0" w:rsidRPr="00622DE0" w:rsidRDefault="00622DE0" w:rsidP="00622DE0">
      <w:pPr>
        <w:spacing w:after="0" w:line="240" w:lineRule="auto"/>
        <w:jc w:val="center"/>
        <w:rPr>
          <w:rFonts w:ascii="Arial" w:eastAsia="Times New Roman" w:hAnsi="Arial" w:cs="Arial"/>
          <w:b/>
          <w:bCs/>
          <w:color w:val="000000"/>
          <w:kern w:val="0"/>
          <w:sz w:val="22"/>
          <w:szCs w:val="22"/>
          <w:u w:val="single"/>
          <w:lang w:eastAsia="el-GR"/>
          <w14:ligatures w14:val="none"/>
        </w:rPr>
      </w:pPr>
      <w:r w:rsidRPr="00622DE0">
        <w:rPr>
          <w:rFonts w:ascii="Arial" w:eastAsia="Times New Roman" w:hAnsi="Arial" w:cs="Arial"/>
          <w:b/>
          <w:bCs/>
          <w:color w:val="000000"/>
          <w:kern w:val="0"/>
          <w:sz w:val="22"/>
          <w:szCs w:val="22"/>
          <w:u w:val="single"/>
          <w:lang w:eastAsia="el-GR"/>
          <w14:ligatures w14:val="none"/>
        </w:rPr>
        <w:t>ΕΝΗΜΕΡΩΤΙΚΟ ΣΗΜΕΙΩΜΑ</w:t>
      </w:r>
    </w:p>
    <w:p w14:paraId="2AE862DA" w14:textId="77777777" w:rsidR="00622DE0" w:rsidRDefault="00622DE0" w:rsidP="002F2323">
      <w:pPr>
        <w:spacing w:after="0" w:line="240" w:lineRule="auto"/>
        <w:jc w:val="both"/>
        <w:rPr>
          <w:rFonts w:ascii="Arial" w:eastAsia="Times New Roman" w:hAnsi="Arial" w:cs="Arial"/>
          <w:b/>
          <w:bCs/>
          <w:color w:val="000000"/>
          <w:kern w:val="0"/>
          <w:sz w:val="22"/>
          <w:szCs w:val="22"/>
          <w:lang w:eastAsia="el-GR"/>
          <w14:ligatures w14:val="none"/>
        </w:rPr>
      </w:pPr>
    </w:p>
    <w:p w14:paraId="79717E42" w14:textId="528B01B6"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Ερωτήσεις και Απαντήσεις για</w:t>
      </w:r>
      <w:r w:rsidR="005516F2">
        <w:rPr>
          <w:rFonts w:ascii="Arial" w:eastAsia="Times New Roman" w:hAnsi="Arial" w:cs="Arial"/>
          <w:b/>
          <w:bCs/>
          <w:color w:val="000000"/>
          <w:kern w:val="0"/>
          <w:sz w:val="22"/>
          <w:szCs w:val="22"/>
          <w:lang w:eastAsia="el-GR"/>
          <w14:ligatures w14:val="none"/>
        </w:rPr>
        <w:t xml:space="preserve">: </w:t>
      </w:r>
      <w:r w:rsidRPr="002F2323">
        <w:rPr>
          <w:rFonts w:ascii="Arial" w:eastAsia="Times New Roman" w:hAnsi="Arial" w:cs="Arial"/>
          <w:b/>
          <w:bCs/>
          <w:color w:val="000000"/>
          <w:kern w:val="0"/>
          <w:sz w:val="22"/>
          <w:szCs w:val="22"/>
          <w:lang w:eastAsia="el-GR"/>
          <w14:ligatures w14:val="none"/>
        </w:rPr>
        <w:t xml:space="preserve"> </w:t>
      </w:r>
      <w:proofErr w:type="spellStart"/>
      <w:r w:rsidRPr="002F2323">
        <w:rPr>
          <w:rFonts w:ascii="Arial" w:eastAsia="Times New Roman" w:hAnsi="Arial" w:cs="Arial"/>
          <w:b/>
          <w:bCs/>
          <w:color w:val="000000"/>
          <w:kern w:val="0"/>
          <w:sz w:val="22"/>
          <w:szCs w:val="22"/>
          <w:lang w:eastAsia="el-GR"/>
          <w14:ligatures w14:val="none"/>
        </w:rPr>
        <w:t>Υπερυπολογιστή</w:t>
      </w:r>
      <w:proofErr w:type="spellEnd"/>
      <w:r w:rsidRPr="002F2323">
        <w:rPr>
          <w:rFonts w:ascii="Arial" w:eastAsia="Times New Roman" w:hAnsi="Arial" w:cs="Arial"/>
          <w:b/>
          <w:bCs/>
          <w:color w:val="000000"/>
          <w:kern w:val="0"/>
          <w:sz w:val="22"/>
          <w:szCs w:val="22"/>
          <w:lang w:eastAsia="el-GR"/>
          <w14:ligatures w14:val="none"/>
        </w:rPr>
        <w:t xml:space="preserve"> </w:t>
      </w:r>
      <w:r w:rsidR="005516F2">
        <w:rPr>
          <w:rFonts w:ascii="Arial" w:eastAsia="Times New Roman" w:hAnsi="Arial" w:cs="Arial"/>
          <w:b/>
          <w:bCs/>
          <w:color w:val="000000"/>
          <w:kern w:val="0"/>
          <w:sz w:val="22"/>
          <w:szCs w:val="22"/>
          <w:lang w:eastAsia="el-GR"/>
          <w14:ligatures w14:val="none"/>
        </w:rPr>
        <w:t>«</w:t>
      </w:r>
      <w:r w:rsidRPr="002F2323">
        <w:rPr>
          <w:rFonts w:ascii="Arial" w:eastAsia="Times New Roman" w:hAnsi="Arial" w:cs="Arial"/>
          <w:b/>
          <w:bCs/>
          <w:color w:val="000000"/>
          <w:kern w:val="0"/>
          <w:sz w:val="22"/>
          <w:szCs w:val="22"/>
          <w:lang w:eastAsia="el-GR"/>
          <w14:ligatures w14:val="none"/>
        </w:rPr>
        <w:t>ΔΑΙΔΑΛΟΣ</w:t>
      </w:r>
      <w:r w:rsidR="005516F2">
        <w:rPr>
          <w:rFonts w:ascii="Arial" w:eastAsia="Times New Roman" w:hAnsi="Arial" w:cs="Arial"/>
          <w:b/>
          <w:bCs/>
          <w:color w:val="000000"/>
          <w:kern w:val="0"/>
          <w:sz w:val="22"/>
          <w:szCs w:val="22"/>
          <w:lang w:eastAsia="el-GR"/>
          <w14:ligatures w14:val="none"/>
        </w:rPr>
        <w:t>»</w:t>
      </w:r>
      <w:r w:rsidRPr="002F2323">
        <w:rPr>
          <w:rFonts w:ascii="Arial" w:eastAsia="Times New Roman" w:hAnsi="Arial" w:cs="Arial"/>
          <w:b/>
          <w:bCs/>
          <w:color w:val="000000"/>
          <w:kern w:val="0"/>
          <w:sz w:val="22"/>
          <w:szCs w:val="22"/>
          <w:lang w:eastAsia="el-GR"/>
          <w14:ligatures w14:val="none"/>
        </w:rPr>
        <w:t xml:space="preserve">, ΚΕΝΤΡΟ ΔΕΔΟΜΕΝΩΝ ΚΤΙΡΙΟ ΤΠΠ ΛΑΥΡΙΟΥ ΚΑΙ AI FACTORY </w:t>
      </w:r>
      <w:r w:rsidR="005516F2">
        <w:rPr>
          <w:rFonts w:ascii="Arial" w:eastAsia="Times New Roman" w:hAnsi="Arial" w:cs="Arial"/>
          <w:b/>
          <w:bCs/>
          <w:color w:val="000000"/>
          <w:kern w:val="0"/>
          <w:sz w:val="22"/>
          <w:szCs w:val="22"/>
          <w:lang w:eastAsia="el-GR"/>
          <w14:ligatures w14:val="none"/>
        </w:rPr>
        <w:t>«</w:t>
      </w:r>
      <w:r w:rsidRPr="002F2323">
        <w:rPr>
          <w:rFonts w:ascii="Arial" w:eastAsia="Times New Roman" w:hAnsi="Arial" w:cs="Arial"/>
          <w:b/>
          <w:bCs/>
          <w:color w:val="000000"/>
          <w:kern w:val="0"/>
          <w:sz w:val="22"/>
          <w:szCs w:val="22"/>
          <w:lang w:eastAsia="el-GR"/>
          <w14:ligatures w14:val="none"/>
        </w:rPr>
        <w:t>ΦΑΡΟΣ</w:t>
      </w:r>
      <w:r w:rsidR="005516F2">
        <w:rPr>
          <w:rFonts w:ascii="Arial" w:eastAsia="Times New Roman" w:hAnsi="Arial" w:cs="Arial"/>
          <w:b/>
          <w:bCs/>
          <w:color w:val="000000"/>
          <w:kern w:val="0"/>
          <w:sz w:val="22"/>
          <w:szCs w:val="22"/>
          <w:lang w:eastAsia="el-GR"/>
          <w14:ligatures w14:val="none"/>
        </w:rPr>
        <w:t>»</w:t>
      </w:r>
    </w:p>
    <w:p w14:paraId="12059607"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5AC8D223" w14:textId="77777777" w:rsidR="002F2323" w:rsidRPr="002F2323" w:rsidRDefault="00000000" w:rsidP="002F2323">
      <w:pPr>
        <w:spacing w:after="0" w:line="240" w:lineRule="auto"/>
        <w:rPr>
          <w:rFonts w:ascii="Times New Roman" w:eastAsia="Times New Roman" w:hAnsi="Times New Roman" w:cs="Times New Roman"/>
          <w:kern w:val="0"/>
          <w:lang w:eastAsia="el-GR"/>
          <w14:ligatures w14:val="none"/>
        </w:rPr>
      </w:pPr>
      <w:r>
        <w:rPr>
          <w:rFonts w:ascii="Times New Roman" w:eastAsia="Times New Roman" w:hAnsi="Times New Roman" w:cs="Times New Roman"/>
          <w:kern w:val="0"/>
          <w:lang w:eastAsia="el-GR"/>
          <w14:ligatures w14:val="none"/>
        </w:rPr>
        <w:pict w14:anchorId="44F801FF">
          <v:rect id="_x0000_i1025" style="width:0;height:1.5pt" o:hralign="center" o:hrstd="t" o:hr="t" fillcolor="#a0a0a0" stroked="f"/>
        </w:pict>
      </w:r>
    </w:p>
    <w:p w14:paraId="65327E6D" w14:textId="00885802" w:rsidR="002F2323" w:rsidRPr="005516F2" w:rsidRDefault="002F2323" w:rsidP="005516F2">
      <w:pPr>
        <w:spacing w:after="0" w:line="240" w:lineRule="auto"/>
        <w:jc w:val="center"/>
        <w:rPr>
          <w:rFonts w:ascii="Times New Roman" w:eastAsia="Times New Roman" w:hAnsi="Times New Roman" w:cs="Times New Roman"/>
          <w:kern w:val="0"/>
          <w:lang w:eastAsia="el-GR"/>
          <w14:ligatures w14:val="none"/>
        </w:rPr>
      </w:pPr>
      <w:r w:rsidRPr="005516F2">
        <w:rPr>
          <w:rFonts w:ascii="Arial" w:eastAsia="Times New Roman" w:hAnsi="Arial" w:cs="Arial"/>
          <w:b/>
          <w:bCs/>
          <w:color w:val="000000"/>
          <w:kern w:val="0"/>
          <w:sz w:val="22"/>
          <w:szCs w:val="22"/>
          <w:lang w:eastAsia="el-GR"/>
          <w14:ligatures w14:val="none"/>
        </w:rPr>
        <w:t xml:space="preserve"> Υ</w:t>
      </w:r>
      <w:proofErr w:type="spellStart"/>
      <w:r w:rsidRPr="005516F2">
        <w:rPr>
          <w:rFonts w:ascii="Arial" w:eastAsia="Times New Roman" w:hAnsi="Arial" w:cs="Arial"/>
          <w:b/>
          <w:bCs/>
          <w:color w:val="000000"/>
          <w:kern w:val="0"/>
          <w:sz w:val="22"/>
          <w:szCs w:val="22"/>
          <w:lang w:eastAsia="el-GR"/>
          <w14:ligatures w14:val="none"/>
        </w:rPr>
        <w:t>περυπολογιστής</w:t>
      </w:r>
      <w:proofErr w:type="spellEnd"/>
      <w:r w:rsidRPr="005516F2">
        <w:rPr>
          <w:rFonts w:ascii="Arial" w:eastAsia="Times New Roman" w:hAnsi="Arial" w:cs="Arial"/>
          <w:b/>
          <w:bCs/>
          <w:color w:val="000000"/>
          <w:kern w:val="0"/>
          <w:sz w:val="22"/>
          <w:szCs w:val="22"/>
          <w:lang w:eastAsia="el-GR"/>
          <w14:ligatures w14:val="none"/>
        </w:rPr>
        <w:t xml:space="preserve"> ΔΑΙΔΑΛΟΣ </w:t>
      </w:r>
    </w:p>
    <w:p w14:paraId="5D290326"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r w:rsidRPr="002F2323">
        <w:rPr>
          <w:rFonts w:ascii="Times New Roman" w:eastAsia="Times New Roman" w:hAnsi="Times New Roman" w:cs="Times New Roman"/>
          <w:kern w:val="0"/>
          <w:lang w:eastAsia="el-GR"/>
          <w14:ligatures w14:val="none"/>
        </w:rPr>
        <w:br/>
      </w:r>
    </w:p>
    <w:p w14:paraId="096AA3B2" w14:textId="77777777" w:rsidR="002F2323" w:rsidRPr="002F2323" w:rsidRDefault="002F2323" w:rsidP="002F2323">
      <w:pPr>
        <w:pStyle w:val="ListParagraph"/>
        <w:numPr>
          <w:ilvl w:val="0"/>
          <w:numId w:val="62"/>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 Ποια η σημασία του έργου ΔΑΙΔΑΛΟΣ; Ποια η αξία του;</w:t>
      </w:r>
    </w:p>
    <w:p w14:paraId="5B16A3CD"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Α</w:t>
      </w:r>
      <w:r w:rsidRPr="002F2323">
        <w:rPr>
          <w:rFonts w:ascii="Arial" w:eastAsia="Times New Roman" w:hAnsi="Arial" w:cs="Arial"/>
          <w:color w:val="000000"/>
          <w:kern w:val="0"/>
          <w:sz w:val="22"/>
          <w:szCs w:val="22"/>
          <w:lang w:eastAsia="el-GR"/>
          <w14:ligatures w14:val="none"/>
        </w:rPr>
        <w:t xml:space="preserve">: Ο </w:t>
      </w:r>
      <w:proofErr w:type="spellStart"/>
      <w:r w:rsidRPr="002F2323">
        <w:rPr>
          <w:rFonts w:ascii="Arial" w:eastAsia="Times New Roman" w:hAnsi="Arial" w:cs="Arial"/>
          <w:color w:val="000000"/>
          <w:kern w:val="0"/>
          <w:sz w:val="22"/>
          <w:szCs w:val="22"/>
          <w:lang w:eastAsia="el-GR"/>
          <w14:ligatures w14:val="none"/>
        </w:rPr>
        <w:t>υπερυπολογιστής</w:t>
      </w:r>
      <w:proofErr w:type="spellEnd"/>
      <w:r w:rsidRPr="002F2323">
        <w:rPr>
          <w:rFonts w:ascii="Arial" w:eastAsia="Times New Roman" w:hAnsi="Arial" w:cs="Arial"/>
          <w:color w:val="000000"/>
          <w:kern w:val="0"/>
          <w:sz w:val="22"/>
          <w:szCs w:val="22"/>
          <w:lang w:eastAsia="el-GR"/>
          <w14:ligatures w14:val="none"/>
        </w:rPr>
        <w:t xml:space="preserve"> ΔΑΙΔΑΛΟΣ έχει τεράστια σημασία για την Ελλάδα, καθώς αναμένεται να την τοποθετήσει ως πρωτοπόρο στο χάρτη των υποδομών ψηφιακής τεχνολογίας, της επιστημονικής έρευνας και της καινοτομίας. Η σημασία του έγκειται στην εξαιρετικά υψηλή υπολογιστική του ισχύ, η οποία θα στηρίξει ερευνητικά έργα κρίσιμης σημασίας σε τομείς όπως η Τεχνητή Νοημοσύνη, η εξατομικευμένη ιατρική, η μετεωρολογία, η ανάλυση μεγάλων δεδομένων και η ανάπτυξη έξυπνων συστημάτων μεταφορών.</w:t>
      </w:r>
    </w:p>
    <w:p w14:paraId="0E96DBE6"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4C7EB3A9"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color w:val="000000"/>
          <w:kern w:val="0"/>
          <w:sz w:val="22"/>
          <w:szCs w:val="22"/>
          <w:lang w:eastAsia="el-GR"/>
          <w14:ligatures w14:val="none"/>
        </w:rPr>
        <w:t>Επιπλέον, ο ΔΑΙΔΑΛΟΣ αναμένεται να προσελκύσει διεθνείς επενδύσεις και συνεργασίες, να συμβάλει στην επιστροφή εξειδικευμένων Ελλήνων επιστημόνων από το εξωτερικό και να ενισχύσει την ανταγωνιστικότητα της χώρας στον τομέα των προηγμένων τεχνολογιών.</w:t>
      </w:r>
    </w:p>
    <w:p w14:paraId="33BF4192"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4B435C73"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color w:val="000000"/>
          <w:kern w:val="0"/>
          <w:sz w:val="22"/>
          <w:szCs w:val="22"/>
          <w:shd w:val="clear" w:color="auto" w:fill="FFFFFF"/>
          <w:lang w:eastAsia="el-GR"/>
          <w14:ligatures w14:val="none"/>
        </w:rPr>
        <w:t>Παράλληλα, η λειτουργία του θα έχει ευρύτερο κοινωνικό όφελος, καθώς θα δημιουργήσει νέες θέσεις εργασίας και θα ενισχύσει την απορρόφηση εξειδικευμένου προσωπικού, προωθώντας τη γνώση και την καινοτομία. Ενδεικτικά, για την προετοιμασία του χώρου και του υπερυπολογιστή αναμένεται να απασχοληθούν περίπου 200 εργαζόμενοι στην εταιρεία MainSys ΑΕ καθώς, ενώ ήδη έχουν εμπλακεί 30 άτομα από την ΕΔΥΤΕ στη φάση σχεδιασμού. Επιπλέον κατά τη λειτουργία του υπερυπολογιστή, για την υποστήριξη και την αξιοποίησή του, απαιτούνται περισσότεροι από 50-60 εργαζόμενοι της ΕΔΥΤΕ.</w:t>
      </w:r>
      <w:r w:rsidRPr="002F2323">
        <w:rPr>
          <w:rFonts w:ascii="Arial" w:eastAsia="Times New Roman" w:hAnsi="Arial" w:cs="Arial"/>
          <w:color w:val="000000"/>
          <w:kern w:val="0"/>
          <w:sz w:val="22"/>
          <w:szCs w:val="22"/>
          <w:shd w:val="clear" w:color="auto" w:fill="FFFFFF"/>
          <w:lang w:eastAsia="el-GR"/>
          <w14:ligatures w14:val="none"/>
        </w:rPr>
        <w:br/>
      </w:r>
      <w:r w:rsidRPr="002F2323">
        <w:rPr>
          <w:rFonts w:ascii="Arial" w:eastAsia="Times New Roman" w:hAnsi="Arial" w:cs="Arial"/>
          <w:color w:val="000000"/>
          <w:kern w:val="0"/>
          <w:sz w:val="22"/>
          <w:szCs w:val="22"/>
          <w:lang w:eastAsia="el-GR"/>
          <w14:ligatures w14:val="none"/>
        </w:rPr>
        <w:br/>
      </w:r>
      <w:r w:rsidRPr="002F2323">
        <w:rPr>
          <w:rFonts w:ascii="Arial" w:eastAsia="Times New Roman" w:hAnsi="Arial" w:cs="Arial"/>
          <w:color w:val="000000"/>
          <w:kern w:val="0"/>
          <w:sz w:val="22"/>
          <w:szCs w:val="22"/>
          <w:lang w:eastAsia="el-GR"/>
          <w14:ligatures w14:val="none"/>
        </w:rPr>
        <w:br/>
      </w:r>
    </w:p>
    <w:p w14:paraId="723E7C85" w14:textId="77777777" w:rsidR="002F2323" w:rsidRPr="002F2323" w:rsidRDefault="002F2323" w:rsidP="002F2323">
      <w:pPr>
        <w:pStyle w:val="ListParagraph"/>
        <w:numPr>
          <w:ilvl w:val="0"/>
          <w:numId w:val="62"/>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 Ποια είναι η συνολική επένδυση για τον εθνικό υπερυπολογιστή; Ποια η πηγή χρηματοδότησης;</w:t>
      </w:r>
    </w:p>
    <w:p w14:paraId="623BE4DD"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Α</w:t>
      </w:r>
      <w:r w:rsidRPr="002F2323">
        <w:rPr>
          <w:rFonts w:ascii="Arial" w:eastAsia="Times New Roman" w:hAnsi="Arial" w:cs="Arial"/>
          <w:color w:val="000000"/>
          <w:kern w:val="0"/>
          <w:sz w:val="22"/>
          <w:szCs w:val="22"/>
          <w:lang w:eastAsia="el-GR"/>
          <w14:ligatures w14:val="none"/>
        </w:rPr>
        <w:t>: Το συνολικό κόστος του έργου (και για τις δύο συμβάσεις) είναι 58,9 εκατομμύρια ευρώ. Η χρηματοδότηση προέρχεται από το Εθνικό Σχέδιο Ανάκαμψης και Ανθεκτικότητας «Ελλάδα 2.0», της Ευρωπαϊκής Ένωσης και τον ευρωπαϊκό οργανισμό EuroHPC JU.</w:t>
      </w:r>
    </w:p>
    <w:p w14:paraId="2EC7D784"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43A3A5A4"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color w:val="000000"/>
          <w:kern w:val="0"/>
          <w:sz w:val="22"/>
          <w:szCs w:val="22"/>
          <w:lang w:eastAsia="el-GR"/>
          <w14:ligatures w14:val="none"/>
        </w:rPr>
        <w:t xml:space="preserve">Το έργο κατακυρώθηκε έπειτα από δημόσιο ανοικτό διαγωνισμό στην ανάδοχο εταιρεία Hewlett Packard Enterprise με αντικείμενο την προμήθεια και την εγκατάσταση προηγμένου υπολογιστικού εξοπλισμού, αποθηκευτικού χώρου και λογισμικού, και εκπαιδευτικές υπηρεσίες, με προϋπολογισμό </w:t>
      </w:r>
      <w:r w:rsidRPr="002F2323">
        <w:rPr>
          <w:rFonts w:ascii="Arial" w:eastAsia="Times New Roman" w:hAnsi="Arial" w:cs="Arial"/>
          <w:b/>
          <w:bCs/>
          <w:color w:val="000000"/>
          <w:kern w:val="0"/>
          <w:sz w:val="22"/>
          <w:szCs w:val="22"/>
          <w:lang w:eastAsia="el-GR"/>
          <w14:ligatures w14:val="none"/>
        </w:rPr>
        <w:t>41</w:t>
      </w:r>
      <w:r w:rsidRPr="002F2323">
        <w:rPr>
          <w:rFonts w:ascii="Arial" w:eastAsia="Times New Roman" w:hAnsi="Arial" w:cs="Arial"/>
          <w:color w:val="000000"/>
          <w:kern w:val="0"/>
          <w:sz w:val="22"/>
          <w:szCs w:val="22"/>
          <w:lang w:eastAsia="el-GR"/>
          <w14:ligatures w14:val="none"/>
        </w:rPr>
        <w:t xml:space="preserve"> εκ. Ευρώ (συμπεριλαμβανομένου ΦΠΑ).</w:t>
      </w:r>
    </w:p>
    <w:p w14:paraId="78165160"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0B3CD70D"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color w:val="000000"/>
          <w:kern w:val="0"/>
          <w:sz w:val="22"/>
          <w:szCs w:val="22"/>
          <w:lang w:eastAsia="el-GR"/>
          <w14:ligatures w14:val="none"/>
        </w:rPr>
        <w:t xml:space="preserve">Επίσης, μετά από δημόσιο ανοικτό διαγωνισμό, κατακυρώθηκε στην ανάδοχο εταιρεία ΜainSys ΑΕ το αντικείμενο  της διαμόρφωσης των  ηλεκτρομηχανολογικών υποδομών και η διαμόρφωση νέου κέντρου δεδομένων στο Τεχνολογικό Πολιτιστικό Πάρκου Λαυρίου, με προϋπολογισμό </w:t>
      </w:r>
      <w:r w:rsidRPr="002F2323">
        <w:rPr>
          <w:rFonts w:ascii="Arial" w:eastAsia="Times New Roman" w:hAnsi="Arial" w:cs="Arial"/>
          <w:b/>
          <w:bCs/>
          <w:color w:val="000000"/>
          <w:kern w:val="0"/>
          <w:sz w:val="22"/>
          <w:szCs w:val="22"/>
          <w:lang w:eastAsia="el-GR"/>
          <w14:ligatures w14:val="none"/>
        </w:rPr>
        <w:t>17,9</w:t>
      </w:r>
      <w:r w:rsidRPr="002F2323">
        <w:rPr>
          <w:rFonts w:ascii="Arial" w:eastAsia="Times New Roman" w:hAnsi="Arial" w:cs="Arial"/>
          <w:color w:val="000000"/>
          <w:kern w:val="0"/>
          <w:sz w:val="22"/>
          <w:szCs w:val="22"/>
          <w:lang w:eastAsia="el-GR"/>
          <w14:ligatures w14:val="none"/>
        </w:rPr>
        <w:t xml:space="preserve"> εκ. Ευρώ (συμπεριλαμβανομένου ΦΠΑ).</w:t>
      </w:r>
    </w:p>
    <w:p w14:paraId="3812B4E9"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r w:rsidRPr="002F2323">
        <w:rPr>
          <w:rFonts w:ascii="Times New Roman" w:eastAsia="Times New Roman" w:hAnsi="Times New Roman" w:cs="Times New Roman"/>
          <w:kern w:val="0"/>
          <w:lang w:eastAsia="el-GR"/>
          <w14:ligatures w14:val="none"/>
        </w:rPr>
        <w:br/>
      </w:r>
    </w:p>
    <w:p w14:paraId="40B32869" w14:textId="77777777" w:rsidR="002F2323" w:rsidRPr="002F2323" w:rsidRDefault="002F2323" w:rsidP="002F2323">
      <w:pPr>
        <w:pStyle w:val="ListParagraph"/>
        <w:numPr>
          <w:ilvl w:val="0"/>
          <w:numId w:val="62"/>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lastRenderedPageBreak/>
        <w:t>Q: Ποιος ο σκοπός και το όφελος για την κοινωνία και το κοινό στο οποίο απευθύνεται;</w:t>
      </w:r>
    </w:p>
    <w:p w14:paraId="34220ED9"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Α</w:t>
      </w:r>
      <w:r w:rsidRPr="002F2323">
        <w:rPr>
          <w:rFonts w:ascii="Arial" w:eastAsia="Times New Roman" w:hAnsi="Arial" w:cs="Arial"/>
          <w:color w:val="000000"/>
          <w:kern w:val="0"/>
          <w:sz w:val="22"/>
          <w:szCs w:val="22"/>
          <w:lang w:eastAsia="el-GR"/>
          <w14:ligatures w14:val="none"/>
        </w:rPr>
        <w:t>:Ο ΔΑΙΔΑΛΟΣ θα ενισχύσει την επιστημονική έρευνα και την καινοτομία σε τομείς όπως η Τεχνητή Νοημοσύνη, η εξατομικευμένη ιατρική και η μετεωρολογία, η ανάλυση μεγάλου όγκου δεδομένων και η ανάπτυξη έξυπνων συστημάτων μεταφορών. Θα προσελκύσει νέους επιστήμονες, θα συμβάλλει σε έρευνα παγκόσμιας κλάσης και θα μπορεί να εξυπηρετεί τις ανάγκες μικρομεσαίων επιχειρήσεων και της βιομηχανίας.</w:t>
      </w:r>
      <w:r w:rsidRPr="002F2323">
        <w:rPr>
          <w:rFonts w:ascii="Arial" w:eastAsia="Times New Roman" w:hAnsi="Arial" w:cs="Arial"/>
          <w:color w:val="000000"/>
          <w:kern w:val="0"/>
          <w:sz w:val="22"/>
          <w:szCs w:val="22"/>
          <w:lang w:eastAsia="el-GR"/>
          <w14:ligatures w14:val="none"/>
        </w:rPr>
        <w:br/>
      </w:r>
      <w:r w:rsidRPr="002F2323">
        <w:rPr>
          <w:rFonts w:ascii="Arial" w:eastAsia="Times New Roman" w:hAnsi="Arial" w:cs="Arial"/>
          <w:color w:val="000000"/>
          <w:kern w:val="0"/>
          <w:sz w:val="22"/>
          <w:szCs w:val="22"/>
          <w:lang w:eastAsia="el-GR"/>
          <w14:ligatures w14:val="none"/>
        </w:rPr>
        <w:br/>
      </w:r>
    </w:p>
    <w:p w14:paraId="643B32D7"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714EFDEF" w14:textId="0409C4CB" w:rsidR="002F2323" w:rsidRPr="00622DE0" w:rsidRDefault="002F2323" w:rsidP="005516F2">
      <w:pPr>
        <w:spacing w:after="0" w:line="240" w:lineRule="auto"/>
        <w:jc w:val="center"/>
        <w:rPr>
          <w:rFonts w:ascii="Arial" w:eastAsia="Times New Roman" w:hAnsi="Arial" w:cs="Arial"/>
          <w:b/>
          <w:bCs/>
          <w:color w:val="000000"/>
          <w:kern w:val="0"/>
          <w:sz w:val="22"/>
          <w:szCs w:val="22"/>
          <w:u w:val="single"/>
          <w:lang w:eastAsia="el-GR"/>
          <w14:ligatures w14:val="none"/>
        </w:rPr>
      </w:pPr>
      <w:r w:rsidRPr="002F2323">
        <w:rPr>
          <w:rFonts w:ascii="Arial" w:eastAsia="Times New Roman" w:hAnsi="Arial" w:cs="Arial"/>
          <w:b/>
          <w:bCs/>
          <w:color w:val="000000"/>
          <w:kern w:val="0"/>
          <w:sz w:val="22"/>
          <w:szCs w:val="22"/>
          <w:lang w:eastAsia="el-GR"/>
          <w14:ligatures w14:val="none"/>
        </w:rPr>
        <w:t>Κ</w:t>
      </w:r>
      <w:r w:rsidR="005516F2">
        <w:rPr>
          <w:rFonts w:ascii="Arial" w:eastAsia="Times New Roman" w:hAnsi="Arial" w:cs="Arial"/>
          <w:b/>
          <w:bCs/>
          <w:color w:val="000000"/>
          <w:kern w:val="0"/>
          <w:sz w:val="22"/>
          <w:szCs w:val="22"/>
          <w:lang w:eastAsia="el-GR"/>
          <w14:ligatures w14:val="none"/>
        </w:rPr>
        <w:t>έντρο Δεδομένω</w:t>
      </w:r>
      <w:r w:rsidR="005516F2" w:rsidRPr="005516F2">
        <w:rPr>
          <w:rFonts w:ascii="Arial" w:eastAsia="Times New Roman" w:hAnsi="Arial" w:cs="Arial"/>
          <w:b/>
          <w:bCs/>
          <w:color w:val="000000"/>
          <w:kern w:val="0"/>
          <w:sz w:val="22"/>
          <w:szCs w:val="22"/>
          <w:lang w:eastAsia="el-GR"/>
          <w14:ligatures w14:val="none"/>
        </w:rPr>
        <w:t>ν</w:t>
      </w:r>
      <w:r w:rsidRPr="005516F2">
        <w:rPr>
          <w:rFonts w:ascii="Arial" w:eastAsia="Times New Roman" w:hAnsi="Arial" w:cs="Arial"/>
          <w:b/>
          <w:bCs/>
          <w:color w:val="000000"/>
          <w:kern w:val="0"/>
          <w:sz w:val="22"/>
          <w:szCs w:val="22"/>
          <w:lang w:eastAsia="el-GR"/>
          <w14:ligatures w14:val="none"/>
        </w:rPr>
        <w:t xml:space="preserve"> Τεχνολογικού Πολιτιστικού Πάρκου Λαυρίου</w:t>
      </w:r>
    </w:p>
    <w:p w14:paraId="4E1A48AF" w14:textId="05CF4C68"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color w:val="000000"/>
          <w:kern w:val="0"/>
          <w:sz w:val="22"/>
          <w:szCs w:val="22"/>
          <w:lang w:eastAsia="el-GR"/>
          <w14:ligatures w14:val="none"/>
        </w:rPr>
        <w:br/>
      </w:r>
    </w:p>
    <w:p w14:paraId="61632E99" w14:textId="77777777" w:rsidR="002F2323" w:rsidRPr="002F2323" w:rsidRDefault="002F2323" w:rsidP="002F2323">
      <w:pPr>
        <w:pStyle w:val="ListParagraph"/>
        <w:numPr>
          <w:ilvl w:val="0"/>
          <w:numId w:val="61"/>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 Πόσο κόστισε; ποια η πηγή χρηματοδότησης;</w:t>
      </w:r>
    </w:p>
    <w:p w14:paraId="34FF994C"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4CA8B9CC"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Α</w:t>
      </w:r>
      <w:r w:rsidRPr="002F2323">
        <w:rPr>
          <w:rFonts w:ascii="Arial" w:eastAsia="Times New Roman" w:hAnsi="Arial" w:cs="Arial"/>
          <w:color w:val="000000"/>
          <w:kern w:val="0"/>
          <w:sz w:val="22"/>
          <w:szCs w:val="22"/>
          <w:lang w:eastAsia="el-GR"/>
          <w14:ligatures w14:val="none"/>
        </w:rPr>
        <w:t xml:space="preserve">:Το έργο κατακυρώθηκε έπειτα από διαγωνισμό, στην ανάδοχο εταιρεία ΜainSys ΑΕ και αφορά στη διαμόρφωση των ηλεκτρομηχανολογικών υποδομών και στη διαμόρφωση νέου κέντρου δεδομένων στο Τεχνολογικό Πολιτιστικό Πάρκου Λαυρίου, με προϋπολογισμό </w:t>
      </w:r>
      <w:r w:rsidRPr="002F2323">
        <w:rPr>
          <w:rFonts w:ascii="Arial" w:eastAsia="Times New Roman" w:hAnsi="Arial" w:cs="Arial"/>
          <w:b/>
          <w:bCs/>
          <w:color w:val="000000"/>
          <w:kern w:val="0"/>
          <w:sz w:val="22"/>
          <w:szCs w:val="22"/>
          <w:lang w:eastAsia="el-GR"/>
          <w14:ligatures w14:val="none"/>
        </w:rPr>
        <w:t>17,9</w:t>
      </w:r>
      <w:r w:rsidRPr="002F2323">
        <w:rPr>
          <w:rFonts w:ascii="Arial" w:eastAsia="Times New Roman" w:hAnsi="Arial" w:cs="Arial"/>
          <w:color w:val="000000"/>
          <w:kern w:val="0"/>
          <w:sz w:val="22"/>
          <w:szCs w:val="22"/>
          <w:lang w:eastAsia="el-GR"/>
          <w14:ligatures w14:val="none"/>
        </w:rPr>
        <w:t xml:space="preserve"> εκ. Ευρώ (συμπεριλαμβανομένου ΦΠΑ). Η χρηματοδότηση προέρχεται από το Εθνικό Σχέδιο Ανάκαμψης και Ανθεκτικότητας «Ελλάδα 2.0», της Ευρωπαϊκής Ένωσης.</w:t>
      </w:r>
    </w:p>
    <w:p w14:paraId="7FECA1FE"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r w:rsidRPr="002F2323">
        <w:rPr>
          <w:rFonts w:ascii="Times New Roman" w:eastAsia="Times New Roman" w:hAnsi="Times New Roman" w:cs="Times New Roman"/>
          <w:kern w:val="0"/>
          <w:lang w:eastAsia="el-GR"/>
          <w14:ligatures w14:val="none"/>
        </w:rPr>
        <w:br/>
      </w:r>
    </w:p>
    <w:p w14:paraId="340F9A24" w14:textId="77777777" w:rsidR="002F2323" w:rsidRPr="002F2323" w:rsidRDefault="002F2323" w:rsidP="002F2323">
      <w:pPr>
        <w:pStyle w:val="ListParagraph"/>
        <w:numPr>
          <w:ilvl w:val="0"/>
          <w:numId w:val="61"/>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 Σε ποιό κτίριο θα εγκατασταθεί ο ΔΑΙΔΑΛΟΣ;</w:t>
      </w:r>
    </w:p>
    <w:p w14:paraId="55991D23"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6DFF9B2F"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Α</w:t>
      </w:r>
      <w:r w:rsidRPr="002F2323">
        <w:rPr>
          <w:rFonts w:ascii="Arial" w:eastAsia="Times New Roman" w:hAnsi="Arial" w:cs="Arial"/>
          <w:color w:val="000000"/>
          <w:kern w:val="0"/>
          <w:sz w:val="22"/>
          <w:szCs w:val="22"/>
          <w:lang w:eastAsia="el-GR"/>
          <w14:ligatures w14:val="none"/>
        </w:rPr>
        <w:t>: Ο ΔΑΙΔΑΛΟΣ θα τοποθετηθεί στο ιστορικό κτήριο του πρώην Ηλεκτρικού Σταθμού της Γαλλικής Εταιρείας Μεταλλείων Λαυρίου, το οποίο βρίσκεται στο ΤΠΠΛ.</w:t>
      </w:r>
    </w:p>
    <w:p w14:paraId="01F14141"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r w:rsidRPr="002F2323">
        <w:rPr>
          <w:rFonts w:ascii="Times New Roman" w:eastAsia="Times New Roman" w:hAnsi="Times New Roman" w:cs="Times New Roman"/>
          <w:kern w:val="0"/>
          <w:lang w:eastAsia="el-GR"/>
          <w14:ligatures w14:val="none"/>
        </w:rPr>
        <w:br/>
      </w:r>
    </w:p>
    <w:p w14:paraId="1F6112BD" w14:textId="77777777" w:rsidR="002F2323" w:rsidRPr="002F2323" w:rsidRDefault="002F2323" w:rsidP="002F2323">
      <w:pPr>
        <w:pStyle w:val="ListParagraph"/>
        <w:numPr>
          <w:ilvl w:val="0"/>
          <w:numId w:val="61"/>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 Ποιά η ιστορική σημασία του κτιρίου;</w:t>
      </w:r>
    </w:p>
    <w:p w14:paraId="6A189202"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46F75EEB" w14:textId="530F2825" w:rsidR="002F2323" w:rsidRPr="00622DE0"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A</w:t>
      </w:r>
      <w:r w:rsidRPr="002F2323">
        <w:rPr>
          <w:rFonts w:ascii="Arial" w:eastAsia="Times New Roman" w:hAnsi="Arial" w:cs="Arial"/>
          <w:color w:val="000000"/>
          <w:kern w:val="0"/>
          <w:sz w:val="22"/>
          <w:szCs w:val="22"/>
          <w:lang w:eastAsia="el-GR"/>
          <w14:ligatures w14:val="none"/>
        </w:rPr>
        <w:t>: Το κτίριο, με εμβαδόν περίπου 1.500τ.μ., χτίστηκε στα τέλη του 19ου αιώνα και θεωρείται από τα σημαντικότερα μνημεία της βιομηχανικής κληρονομιάς. Αποτέλεσε έναν από τους πρώτους ηλεκτρικούς σταθμούς παραγωγής ενέργειας στην Ελλάδα και έχει ιδιαίτερη αρχιτεκτονική αξία. Η συνολική ανάπλαση αφορά 2 κτίρια, το κτίριο της Καμινείας και του παλαιού Πλινθοποιείου, τα οποία θα στεγάζουν όλες τις υποστηρικτικές υποδομές, μαζί με τον περιβάλλοντα χώρο, συνολικής έκτασης 3.000τ.μ..</w:t>
      </w:r>
    </w:p>
    <w:p w14:paraId="6E7FCECE" w14:textId="77777777" w:rsidR="002F2323" w:rsidRPr="00622DE0" w:rsidRDefault="002F2323" w:rsidP="002F2323">
      <w:pPr>
        <w:spacing w:after="0" w:line="240" w:lineRule="auto"/>
        <w:jc w:val="both"/>
        <w:rPr>
          <w:rFonts w:ascii="Times New Roman" w:eastAsia="Times New Roman" w:hAnsi="Times New Roman" w:cs="Times New Roman"/>
          <w:kern w:val="0"/>
          <w:lang w:eastAsia="el-GR"/>
          <w14:ligatures w14:val="none"/>
        </w:rPr>
      </w:pPr>
    </w:p>
    <w:p w14:paraId="1B0135CA" w14:textId="77777777" w:rsidR="002F2323" w:rsidRPr="002F2323" w:rsidRDefault="002F2323" w:rsidP="002F2323">
      <w:pPr>
        <w:pStyle w:val="ListParagraph"/>
        <w:numPr>
          <w:ilvl w:val="0"/>
          <w:numId w:val="61"/>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 Γιατί επιλέχθηκε το συγκεκριμένο κτίριο για τον ΔΑΙΔΑΛΟ; </w:t>
      </w:r>
    </w:p>
    <w:p w14:paraId="187946C0"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7F9BE859"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A</w:t>
      </w:r>
      <w:r w:rsidRPr="002F2323">
        <w:rPr>
          <w:rFonts w:ascii="Arial" w:eastAsia="Times New Roman" w:hAnsi="Arial" w:cs="Arial"/>
          <w:color w:val="000000"/>
          <w:kern w:val="0"/>
          <w:sz w:val="22"/>
          <w:szCs w:val="22"/>
          <w:lang w:eastAsia="el-GR"/>
          <w14:ligatures w14:val="none"/>
        </w:rPr>
        <w:t>: Η επιλογή του συγκεκριμένου χώρου έγινε βάσει τόσο της ιστορικής του αξίας όσο και της τεχνικής του σπουδαιότητας, συμβάλλοντας στην ανάδειξη της εξέλιξης της ελληνικής βιομηχανίας και επιστήμης. Εξάλλου, το ΤΠΠΛ στεγάζει αρκετές νέες και καινοτόμες επιχειρήσεις, εργαστήρια του ΕΜΠ, καθώς επίσης και ιδρύματα πολιτισμού και τέχνης, αποτελώντας μία κοιτίδα ανάπτυξης και εφαρμογής καινοτόμων προϊόντων και δραστηριοτήτων τεχνολογικού, εκπαιδευτικού  και πολιτιστικού περιεχομένου.</w:t>
      </w:r>
    </w:p>
    <w:p w14:paraId="1B2D8BCE"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r w:rsidRPr="002F2323">
        <w:rPr>
          <w:rFonts w:ascii="Times New Roman" w:eastAsia="Times New Roman" w:hAnsi="Times New Roman" w:cs="Times New Roman"/>
          <w:kern w:val="0"/>
          <w:lang w:eastAsia="el-GR"/>
          <w14:ligatures w14:val="none"/>
        </w:rPr>
        <w:br/>
      </w:r>
    </w:p>
    <w:p w14:paraId="3D591FD9" w14:textId="7CB2EF25" w:rsidR="002F2323" w:rsidRPr="002F2323" w:rsidRDefault="002F2323" w:rsidP="002F2323">
      <w:pPr>
        <w:pStyle w:val="ListParagraph"/>
        <w:numPr>
          <w:ilvl w:val="0"/>
          <w:numId w:val="61"/>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 Ποιός είναι υπεύθυνος για τη διαμόρφωση του χώρου;</w:t>
      </w:r>
    </w:p>
    <w:p w14:paraId="1F27A2A6"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4E977379"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A</w:t>
      </w:r>
      <w:r w:rsidRPr="002F2323">
        <w:rPr>
          <w:rFonts w:ascii="Arial" w:eastAsia="Times New Roman" w:hAnsi="Arial" w:cs="Arial"/>
          <w:color w:val="000000"/>
          <w:kern w:val="0"/>
          <w:sz w:val="22"/>
          <w:szCs w:val="22"/>
          <w:lang w:eastAsia="el-GR"/>
          <w14:ligatures w14:val="none"/>
        </w:rPr>
        <w:t xml:space="preserve">: Η προετοιμασία για τη διαμόρφωση του χώρου ηλεκτρομηχανολογικού εξοπλισμού και εγκαταστάσεων του νέου Κέντρου Δεδομένων στο κτήριο του πρώην Ηλεκτρικού </w:t>
      </w:r>
      <w:r w:rsidRPr="002F2323">
        <w:rPr>
          <w:rFonts w:ascii="Arial" w:eastAsia="Times New Roman" w:hAnsi="Arial" w:cs="Arial"/>
          <w:color w:val="000000"/>
          <w:kern w:val="0"/>
          <w:sz w:val="22"/>
          <w:szCs w:val="22"/>
          <w:lang w:eastAsia="el-GR"/>
          <w14:ligatures w14:val="none"/>
        </w:rPr>
        <w:lastRenderedPageBreak/>
        <w:t>σταθμού πραγματοποιείται σε μία από κοινού προσπάθεια μεταξύ, εξειδικευμένου προσωπικού της ΕΔΥΤΕ – GRNET, ομάδας επίλεκτων αρχιτεκτόνων του Εθνικού Μετσόβιου Πολυτεχνείου (ΕΜΠ) και στελεχών του Τεχνολογικού Πολιτιστικού Πάρκου Λαυρίου (ΤΠΠΛ) που διαθέτει τους χώρους. Η υλοποίηση γίνεται με τη μέριμνα, φροντίδα και επίβλεψη της ΕΔΥΤΕ ΑΕ. </w:t>
      </w:r>
    </w:p>
    <w:p w14:paraId="2335D980"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r w:rsidRPr="002F2323">
        <w:rPr>
          <w:rFonts w:ascii="Times New Roman" w:eastAsia="Times New Roman" w:hAnsi="Times New Roman" w:cs="Times New Roman"/>
          <w:kern w:val="0"/>
          <w:lang w:eastAsia="el-GR"/>
          <w14:ligatures w14:val="none"/>
        </w:rPr>
        <w:br/>
      </w:r>
    </w:p>
    <w:p w14:paraId="63E5D698" w14:textId="6276F157" w:rsidR="002F2323" w:rsidRPr="002F2323" w:rsidRDefault="002F2323" w:rsidP="002F2323">
      <w:pPr>
        <w:pStyle w:val="ListParagraph"/>
        <w:numPr>
          <w:ilvl w:val="0"/>
          <w:numId w:val="61"/>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  Τι εργασίες θα πραγματοποιηθούν στο κτίριο;</w:t>
      </w:r>
    </w:p>
    <w:p w14:paraId="03666FEC"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0BE05707" w14:textId="77777777" w:rsidR="002F2323" w:rsidRPr="002F2323" w:rsidRDefault="002F2323" w:rsidP="002F2323">
      <w:pPr>
        <w:spacing w:after="0" w:line="240" w:lineRule="auto"/>
        <w:ind w:hanging="360"/>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A</w:t>
      </w:r>
      <w:r w:rsidRPr="002F2323">
        <w:rPr>
          <w:rFonts w:ascii="Arial" w:eastAsia="Times New Roman" w:hAnsi="Arial" w:cs="Arial"/>
          <w:color w:val="000000"/>
          <w:kern w:val="0"/>
          <w:sz w:val="22"/>
          <w:szCs w:val="22"/>
          <w:lang w:eastAsia="el-GR"/>
          <w14:ligatures w14:val="none"/>
        </w:rPr>
        <w:t>:  H αποκατάσταση περιλαμβάνει:</w:t>
      </w:r>
    </w:p>
    <w:p w14:paraId="3877540D" w14:textId="77777777" w:rsidR="002F2323" w:rsidRPr="002F2323" w:rsidRDefault="002F2323" w:rsidP="002F2323">
      <w:pPr>
        <w:numPr>
          <w:ilvl w:val="0"/>
          <w:numId w:val="41"/>
        </w:numPr>
        <w:spacing w:after="0" w:line="240" w:lineRule="auto"/>
        <w:ind w:left="360"/>
        <w:jc w:val="both"/>
        <w:textAlignment w:val="baseline"/>
        <w:rPr>
          <w:rFonts w:ascii="Arial" w:eastAsia="Times New Roman" w:hAnsi="Arial" w:cs="Arial"/>
          <w:color w:val="000000"/>
          <w:kern w:val="0"/>
          <w:sz w:val="22"/>
          <w:szCs w:val="22"/>
          <w:lang w:eastAsia="el-GR"/>
          <w14:ligatures w14:val="none"/>
        </w:rPr>
      </w:pPr>
      <w:r w:rsidRPr="002F2323">
        <w:rPr>
          <w:rFonts w:ascii="Arial" w:eastAsia="Times New Roman" w:hAnsi="Arial" w:cs="Arial"/>
          <w:color w:val="000000"/>
          <w:kern w:val="0"/>
          <w:sz w:val="22"/>
          <w:szCs w:val="22"/>
          <w:lang w:eastAsia="el-GR"/>
          <w14:ligatures w14:val="none"/>
        </w:rPr>
        <w:t>Λεπτομερή ιστορική ανάλυση για την διατήρηση της αρχιτεκτονικής και ιστορικής του αξίας.</w:t>
      </w:r>
    </w:p>
    <w:p w14:paraId="54E04C84" w14:textId="77777777" w:rsidR="002F2323" w:rsidRPr="002F2323" w:rsidRDefault="002F2323" w:rsidP="002F2323">
      <w:pPr>
        <w:numPr>
          <w:ilvl w:val="0"/>
          <w:numId w:val="41"/>
        </w:numPr>
        <w:spacing w:after="0" w:line="240" w:lineRule="auto"/>
        <w:ind w:left="360"/>
        <w:jc w:val="both"/>
        <w:textAlignment w:val="baseline"/>
        <w:rPr>
          <w:rFonts w:ascii="Arial" w:eastAsia="Times New Roman" w:hAnsi="Arial" w:cs="Arial"/>
          <w:color w:val="000000"/>
          <w:kern w:val="0"/>
          <w:sz w:val="22"/>
          <w:szCs w:val="22"/>
          <w:lang w:eastAsia="el-GR"/>
          <w14:ligatures w14:val="none"/>
        </w:rPr>
      </w:pPr>
      <w:r w:rsidRPr="002F2323">
        <w:rPr>
          <w:rFonts w:ascii="Arial" w:eastAsia="Times New Roman" w:hAnsi="Arial" w:cs="Arial"/>
          <w:color w:val="000000"/>
          <w:kern w:val="0"/>
          <w:sz w:val="22"/>
          <w:szCs w:val="22"/>
          <w:lang w:eastAsia="el-GR"/>
          <w14:ligatures w14:val="none"/>
        </w:rPr>
        <w:t>Εργασίες στατικών ενισχύσεων, αποκατάστασης και αναπαλαίωσης των κτιρίων στο σύνολο του κελύφους αυτών, έτσι ώστε να αναβαθμιστούν στατικά διατηρώντας το ύφος, την αρχιτεκτονική και την αισθητική των κτιρίων.</w:t>
      </w:r>
    </w:p>
    <w:p w14:paraId="3BE43CF8" w14:textId="778D5593" w:rsidR="002F2323" w:rsidRPr="002F2323" w:rsidRDefault="002F2323" w:rsidP="002F2323">
      <w:pPr>
        <w:numPr>
          <w:ilvl w:val="0"/>
          <w:numId w:val="41"/>
        </w:numPr>
        <w:spacing w:after="0" w:line="240" w:lineRule="auto"/>
        <w:ind w:left="360"/>
        <w:jc w:val="both"/>
        <w:textAlignment w:val="baseline"/>
        <w:rPr>
          <w:rFonts w:ascii="Arial" w:eastAsia="Times New Roman" w:hAnsi="Arial" w:cs="Arial"/>
          <w:color w:val="000000"/>
          <w:kern w:val="0"/>
          <w:sz w:val="22"/>
          <w:szCs w:val="22"/>
          <w:lang w:eastAsia="el-GR"/>
          <w14:ligatures w14:val="none"/>
        </w:rPr>
      </w:pPr>
      <w:r w:rsidRPr="002F2323">
        <w:rPr>
          <w:rFonts w:ascii="Arial" w:eastAsia="Times New Roman" w:hAnsi="Arial" w:cs="Arial"/>
          <w:color w:val="000000"/>
          <w:kern w:val="0"/>
          <w:sz w:val="22"/>
          <w:szCs w:val="22"/>
          <w:lang w:eastAsia="el-GR"/>
          <w14:ligatures w14:val="none"/>
        </w:rPr>
        <w:t xml:space="preserve">Διαμερισματοποίηση του χώρου για την φιλοξενία  Κέντρου Δεδομένων (ΚΔ) HPC και μέρους του Κυβερνητικού Νέφους Τομέα Έρευνας και Εκπαίδευσης (RE </w:t>
      </w:r>
      <w:proofErr w:type="spellStart"/>
      <w:r w:rsidRPr="002F2323">
        <w:rPr>
          <w:rFonts w:ascii="Arial" w:eastAsia="Times New Roman" w:hAnsi="Arial" w:cs="Arial"/>
          <w:color w:val="000000"/>
          <w:kern w:val="0"/>
          <w:sz w:val="22"/>
          <w:szCs w:val="22"/>
          <w:lang w:eastAsia="el-GR"/>
          <w14:ligatures w14:val="none"/>
        </w:rPr>
        <w:t>Cloud</w:t>
      </w:r>
      <w:proofErr w:type="spellEnd"/>
      <w:r w:rsidRPr="002F2323">
        <w:rPr>
          <w:rFonts w:ascii="Arial" w:eastAsia="Times New Roman" w:hAnsi="Arial" w:cs="Arial"/>
          <w:color w:val="000000"/>
          <w:kern w:val="0"/>
          <w:sz w:val="22"/>
          <w:szCs w:val="22"/>
          <w:lang w:eastAsia="el-GR"/>
          <w14:ligatures w14:val="none"/>
        </w:rPr>
        <w:t>).</w:t>
      </w:r>
    </w:p>
    <w:p w14:paraId="3E03C7D7" w14:textId="77777777" w:rsidR="002F2323" w:rsidRPr="002F2323" w:rsidRDefault="002F2323" w:rsidP="002F2323">
      <w:pPr>
        <w:numPr>
          <w:ilvl w:val="0"/>
          <w:numId w:val="41"/>
        </w:numPr>
        <w:spacing w:after="0" w:line="240" w:lineRule="auto"/>
        <w:ind w:left="360"/>
        <w:jc w:val="both"/>
        <w:textAlignment w:val="baseline"/>
        <w:rPr>
          <w:rFonts w:ascii="Arial" w:eastAsia="Times New Roman" w:hAnsi="Arial" w:cs="Arial"/>
          <w:color w:val="000000"/>
          <w:kern w:val="0"/>
          <w:sz w:val="22"/>
          <w:szCs w:val="22"/>
          <w:lang w:eastAsia="el-GR"/>
          <w14:ligatures w14:val="none"/>
        </w:rPr>
      </w:pPr>
      <w:r w:rsidRPr="002F2323">
        <w:rPr>
          <w:rFonts w:ascii="Arial" w:eastAsia="Times New Roman" w:hAnsi="Arial" w:cs="Arial"/>
          <w:color w:val="000000"/>
          <w:kern w:val="0"/>
          <w:sz w:val="22"/>
          <w:szCs w:val="22"/>
          <w:lang w:eastAsia="el-GR"/>
          <w14:ligatures w14:val="none"/>
        </w:rPr>
        <w:t>Δημιουργία κατάλληλων υποδομών προκειμένου να εξυπηρετηθούν οι ειδικές συνθήκες του υπερυπολογιστή (δημιουργία κελύφους ελλειπτικού σχήματος με σκοπό τη διατήρηση σταθερής θερμοκρασίας, την προστασία από εξωγενείς παράγοντες και τον έλεγχο προσβασιμότητας εντός του χώρου του υπολογιστικού συστήματος)</w:t>
      </w:r>
    </w:p>
    <w:p w14:paraId="0BE4BF60" w14:textId="50B36968" w:rsidR="002F2323" w:rsidRPr="002F2323" w:rsidRDefault="002F2323" w:rsidP="002F2323">
      <w:pPr>
        <w:numPr>
          <w:ilvl w:val="0"/>
          <w:numId w:val="41"/>
        </w:numPr>
        <w:spacing w:after="0" w:line="240" w:lineRule="auto"/>
        <w:ind w:left="360"/>
        <w:jc w:val="both"/>
        <w:textAlignment w:val="baseline"/>
        <w:rPr>
          <w:rFonts w:ascii="Arial" w:eastAsia="Times New Roman" w:hAnsi="Arial" w:cs="Arial"/>
          <w:color w:val="000000"/>
          <w:kern w:val="0"/>
          <w:sz w:val="22"/>
          <w:szCs w:val="22"/>
          <w:lang w:eastAsia="el-GR"/>
          <w14:ligatures w14:val="none"/>
        </w:rPr>
      </w:pPr>
      <w:r w:rsidRPr="002F2323">
        <w:rPr>
          <w:rFonts w:ascii="Arial" w:eastAsia="Times New Roman" w:hAnsi="Arial" w:cs="Arial"/>
          <w:color w:val="000000"/>
          <w:kern w:val="0"/>
          <w:sz w:val="22"/>
          <w:szCs w:val="22"/>
          <w:lang w:eastAsia="el-GR"/>
          <w14:ligatures w14:val="none"/>
        </w:rPr>
        <w:t>Μετατροπή του χώρου σε επισκέψιμο κέντρο.</w:t>
      </w:r>
    </w:p>
    <w:p w14:paraId="57C52D5E" w14:textId="77777777" w:rsidR="002F2323" w:rsidRPr="002F2323" w:rsidRDefault="002F2323" w:rsidP="002F2323">
      <w:pPr>
        <w:spacing w:after="0" w:line="240" w:lineRule="auto"/>
        <w:ind w:left="360"/>
        <w:jc w:val="both"/>
        <w:textAlignment w:val="baseline"/>
        <w:rPr>
          <w:rFonts w:ascii="Arial" w:eastAsia="Times New Roman" w:hAnsi="Arial" w:cs="Arial"/>
          <w:color w:val="000000"/>
          <w:kern w:val="0"/>
          <w:sz w:val="22"/>
          <w:szCs w:val="22"/>
          <w:lang w:eastAsia="el-GR"/>
          <w14:ligatures w14:val="none"/>
        </w:rPr>
      </w:pPr>
    </w:p>
    <w:p w14:paraId="618E75E7" w14:textId="7D9D0272" w:rsidR="002F2323" w:rsidRPr="002F2323" w:rsidRDefault="002F2323" w:rsidP="002F2323">
      <w:pPr>
        <w:pStyle w:val="ListParagraph"/>
        <w:numPr>
          <w:ilvl w:val="0"/>
          <w:numId w:val="61"/>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w:t>
      </w:r>
      <w:r w:rsidRPr="002F2323">
        <w:rPr>
          <w:rFonts w:ascii="Arial" w:eastAsia="Times New Roman" w:hAnsi="Arial" w:cs="Arial"/>
          <w:color w:val="000000"/>
          <w:kern w:val="0"/>
          <w:sz w:val="22"/>
          <w:szCs w:val="22"/>
          <w:lang w:eastAsia="el-GR"/>
          <w14:ligatures w14:val="none"/>
        </w:rPr>
        <w:t>: Ο ΔΑΙΔΑΛΟΣ σέβεται το περιβάλλον; </w:t>
      </w:r>
    </w:p>
    <w:p w14:paraId="314E0951"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19C83F92"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A</w:t>
      </w:r>
      <w:r w:rsidRPr="002F2323">
        <w:rPr>
          <w:rFonts w:ascii="Arial" w:eastAsia="Times New Roman" w:hAnsi="Arial" w:cs="Arial"/>
          <w:color w:val="000000"/>
          <w:kern w:val="0"/>
          <w:sz w:val="22"/>
          <w:szCs w:val="22"/>
          <w:lang w:eastAsia="el-GR"/>
          <w14:ligatures w14:val="none"/>
        </w:rPr>
        <w:t>: Ο σχεδιασμός του έργου έγινε με κριτήριο την ελάχιστη δυνατή όχληση του περιβάλλοντος, με σεβασμό στο κτίριο και την ιστορικότητα του, χρήση ανανεώσιμων μορφών ενέργειας, τεχνικές ψύξης με την ελάχιστη δυνατή κατανάλωση ενέργειας και βελτιστοποίηση της ενεργειακής απόδοσης.  </w:t>
      </w:r>
    </w:p>
    <w:p w14:paraId="323B8108"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r w:rsidRPr="002F2323">
        <w:rPr>
          <w:rFonts w:ascii="Times New Roman" w:eastAsia="Times New Roman" w:hAnsi="Times New Roman" w:cs="Times New Roman"/>
          <w:kern w:val="0"/>
          <w:lang w:eastAsia="el-GR"/>
          <w14:ligatures w14:val="none"/>
        </w:rPr>
        <w:br/>
      </w:r>
    </w:p>
    <w:p w14:paraId="2FD1E434" w14:textId="26BAD4E3" w:rsidR="002F2323" w:rsidRPr="002F2323" w:rsidRDefault="002F2323" w:rsidP="002F2323">
      <w:pPr>
        <w:pStyle w:val="ListParagraph"/>
        <w:numPr>
          <w:ilvl w:val="0"/>
          <w:numId w:val="61"/>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w:t>
      </w:r>
      <w:r w:rsidRPr="002F2323">
        <w:rPr>
          <w:rFonts w:ascii="Arial" w:eastAsia="Times New Roman" w:hAnsi="Arial" w:cs="Arial"/>
          <w:color w:val="000000"/>
          <w:kern w:val="0"/>
          <w:sz w:val="22"/>
          <w:szCs w:val="22"/>
          <w:lang w:eastAsia="el-GR"/>
          <w14:ligatures w14:val="none"/>
        </w:rPr>
        <w:t>: Ο ΔΑΙΔΑΛΟΣ πώς υποστηρίζεται ενεργειακά; </w:t>
      </w:r>
    </w:p>
    <w:p w14:paraId="222C5FA1"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A</w:t>
      </w:r>
      <w:r w:rsidRPr="002F2323">
        <w:rPr>
          <w:rFonts w:ascii="Arial" w:eastAsia="Times New Roman" w:hAnsi="Arial" w:cs="Arial"/>
          <w:color w:val="000000"/>
          <w:kern w:val="0"/>
          <w:sz w:val="22"/>
          <w:szCs w:val="22"/>
          <w:lang w:eastAsia="el-GR"/>
          <w14:ligatures w14:val="none"/>
        </w:rPr>
        <w:t>: Στο παρακείμενο κτίριο των πρώην Υποστέγων Καμινείας, εμβαδού περί τα 1450 m2,  εγκαθίσταται ο ενεργειακός σταθμός με συνολική εγκατεστημένη ισχύ 6 MVA, που φροντίζει για την τροφοδοσία με ηλεκτρικό ρεύμα, το υδρόψυκτο σύστημα κλιματισμού που αξιοποιεί free cooling τεχνολογίες για τον περιορισμό της ανάγκης μηχανικής συμπίεσης στην ψύξη και την εφεδρική ηλεκτρική ισχύ μέσω Ηλεκτρογεννητριών. </w:t>
      </w:r>
    </w:p>
    <w:p w14:paraId="1B5D7AEF"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color w:val="000000"/>
          <w:kern w:val="0"/>
          <w:sz w:val="22"/>
          <w:szCs w:val="22"/>
          <w:lang w:eastAsia="el-GR"/>
          <w14:ligatures w14:val="none"/>
        </w:rPr>
        <w:t>Οι υποδομές εγκαθίστανται σε κατάλληλο χώρο με σεβασμό στο περιβάλλον και το συνολικό τοπίο του χώρου, μεγιστοποιώντας τη διαθεσιμότητα και αξιοπιστία του Κέντρου Δεδομένων. Το υδρόψυκτο σύστημα κλιματισμού αξιοποιεί τεχνολογίες free cooling για τον δραστικό περιορισμό της ανάγκης μηχανικής συμπίεσης στην ψύξη</w:t>
      </w:r>
    </w:p>
    <w:p w14:paraId="6C41D553" w14:textId="77777777" w:rsidR="002F2323" w:rsidRPr="002F2323" w:rsidRDefault="002F2323" w:rsidP="002F2323">
      <w:pPr>
        <w:spacing w:after="240" w:line="240" w:lineRule="auto"/>
        <w:rPr>
          <w:rFonts w:ascii="Times New Roman" w:eastAsia="Times New Roman" w:hAnsi="Times New Roman" w:cs="Times New Roman"/>
          <w:kern w:val="0"/>
          <w:lang w:eastAsia="el-GR"/>
          <w14:ligatures w14:val="none"/>
        </w:rPr>
      </w:pPr>
      <w:r w:rsidRPr="002F2323">
        <w:rPr>
          <w:rFonts w:ascii="Times New Roman" w:eastAsia="Times New Roman" w:hAnsi="Times New Roman" w:cs="Times New Roman"/>
          <w:kern w:val="0"/>
          <w:lang w:eastAsia="el-GR"/>
          <w14:ligatures w14:val="none"/>
        </w:rPr>
        <w:br/>
      </w:r>
    </w:p>
    <w:p w14:paraId="34A1BB54" w14:textId="178978B9" w:rsidR="002F2323" w:rsidRPr="002F2323" w:rsidRDefault="002F2323" w:rsidP="005516F2">
      <w:pPr>
        <w:spacing w:after="0" w:line="240" w:lineRule="auto"/>
        <w:jc w:val="center"/>
        <w:rPr>
          <w:rFonts w:ascii="Times New Roman" w:eastAsia="Times New Roman" w:hAnsi="Times New Roman" w:cs="Times New Roman"/>
          <w:kern w:val="0"/>
          <w:lang w:val="en-US" w:eastAsia="el-GR"/>
          <w14:ligatures w14:val="none"/>
        </w:rPr>
      </w:pPr>
      <w:r w:rsidRPr="002F2323">
        <w:rPr>
          <w:rFonts w:ascii="Arial" w:eastAsia="Times New Roman" w:hAnsi="Arial" w:cs="Arial"/>
          <w:b/>
          <w:bCs/>
          <w:color w:val="000000"/>
          <w:kern w:val="0"/>
          <w:sz w:val="22"/>
          <w:szCs w:val="22"/>
          <w:lang w:val="en-US" w:eastAsia="el-GR"/>
          <w14:ligatures w14:val="none"/>
        </w:rPr>
        <w:t xml:space="preserve">AI Factory </w:t>
      </w:r>
      <w:r w:rsidR="005516F2">
        <w:rPr>
          <w:rFonts w:ascii="Arial" w:eastAsia="Times New Roman" w:hAnsi="Arial" w:cs="Arial"/>
          <w:b/>
          <w:bCs/>
          <w:color w:val="000000"/>
          <w:kern w:val="0"/>
          <w:sz w:val="22"/>
          <w:szCs w:val="22"/>
          <w:lang w:eastAsia="el-GR"/>
          <w14:ligatures w14:val="none"/>
        </w:rPr>
        <w:t>«</w:t>
      </w:r>
      <w:r w:rsidRPr="002F2323">
        <w:rPr>
          <w:rFonts w:ascii="Arial" w:eastAsia="Times New Roman" w:hAnsi="Arial" w:cs="Arial"/>
          <w:b/>
          <w:bCs/>
          <w:color w:val="000000"/>
          <w:kern w:val="0"/>
          <w:sz w:val="22"/>
          <w:szCs w:val="22"/>
          <w:lang w:eastAsia="el-GR"/>
          <w14:ligatures w14:val="none"/>
        </w:rPr>
        <w:t>Φάρος</w:t>
      </w:r>
      <w:r w:rsidR="005516F2">
        <w:rPr>
          <w:rFonts w:ascii="Arial" w:eastAsia="Times New Roman" w:hAnsi="Arial" w:cs="Arial"/>
          <w:b/>
          <w:bCs/>
          <w:color w:val="000000"/>
          <w:kern w:val="0"/>
          <w:sz w:val="22"/>
          <w:szCs w:val="22"/>
          <w:lang w:eastAsia="el-GR"/>
          <w14:ligatures w14:val="none"/>
        </w:rPr>
        <w:t>»</w:t>
      </w:r>
    </w:p>
    <w:p w14:paraId="3B9C47D4" w14:textId="77777777" w:rsidR="002F2323" w:rsidRPr="002F2323" w:rsidRDefault="002F2323" w:rsidP="002F2323">
      <w:pPr>
        <w:spacing w:after="0" w:line="240" w:lineRule="auto"/>
        <w:rPr>
          <w:rFonts w:ascii="Times New Roman" w:eastAsia="Times New Roman" w:hAnsi="Times New Roman" w:cs="Times New Roman"/>
          <w:kern w:val="0"/>
          <w:lang w:val="en-US" w:eastAsia="el-GR"/>
          <w14:ligatures w14:val="none"/>
        </w:rPr>
      </w:pPr>
      <w:r w:rsidRPr="002F2323">
        <w:rPr>
          <w:rFonts w:ascii="Times New Roman" w:eastAsia="Times New Roman" w:hAnsi="Times New Roman" w:cs="Times New Roman"/>
          <w:kern w:val="0"/>
          <w:lang w:val="en-US" w:eastAsia="el-GR"/>
          <w14:ligatures w14:val="none"/>
        </w:rPr>
        <w:br/>
      </w:r>
    </w:p>
    <w:p w14:paraId="757C6056" w14:textId="1610CD4B" w:rsidR="002F2323" w:rsidRPr="002F2323" w:rsidRDefault="002F2323" w:rsidP="002F2323">
      <w:pPr>
        <w:pStyle w:val="ListParagraph"/>
        <w:numPr>
          <w:ilvl w:val="0"/>
          <w:numId w:val="63"/>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 Πότε ξεκινά το έργο;</w:t>
      </w:r>
    </w:p>
    <w:p w14:paraId="3F88B8A8"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7B20D0C8" w14:textId="0FE916AB"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A</w:t>
      </w:r>
      <w:r w:rsidRPr="002F2323">
        <w:rPr>
          <w:rFonts w:ascii="Arial" w:eastAsia="Times New Roman" w:hAnsi="Arial" w:cs="Arial"/>
          <w:color w:val="000000"/>
          <w:kern w:val="0"/>
          <w:sz w:val="22"/>
          <w:szCs w:val="22"/>
          <w:lang w:eastAsia="el-GR"/>
          <w14:ligatures w14:val="none"/>
        </w:rPr>
        <w:t xml:space="preserve">: Η επίσημη έναρξη του έργου AI Factories είναι η 1η Απριλίου 2025 και η διάρκειά υλοποίησης είναι 36 μήνες. </w:t>
      </w:r>
    </w:p>
    <w:p w14:paraId="34F67AFF"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r w:rsidRPr="002F2323">
        <w:rPr>
          <w:rFonts w:ascii="Times New Roman" w:eastAsia="Times New Roman" w:hAnsi="Times New Roman" w:cs="Times New Roman"/>
          <w:kern w:val="0"/>
          <w:lang w:eastAsia="el-GR"/>
          <w14:ligatures w14:val="none"/>
        </w:rPr>
        <w:lastRenderedPageBreak/>
        <w:br/>
      </w:r>
    </w:p>
    <w:p w14:paraId="6ED969AB" w14:textId="77777777" w:rsidR="002F2323" w:rsidRPr="002F2323" w:rsidRDefault="002F2323" w:rsidP="002F2323">
      <w:pPr>
        <w:pStyle w:val="ListParagraph"/>
        <w:numPr>
          <w:ilvl w:val="0"/>
          <w:numId w:val="63"/>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 Πώς επελέγη η Ελλάδα για τη φιλοξενία του AI Factory Pharos;</w:t>
      </w:r>
    </w:p>
    <w:p w14:paraId="25B7A794"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11A4A652"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A</w:t>
      </w:r>
      <w:r w:rsidRPr="002F2323">
        <w:rPr>
          <w:rFonts w:ascii="Arial" w:eastAsia="Times New Roman" w:hAnsi="Arial" w:cs="Arial"/>
          <w:color w:val="000000"/>
          <w:kern w:val="0"/>
          <w:sz w:val="22"/>
          <w:szCs w:val="22"/>
          <w:lang w:eastAsia="el-GR"/>
          <w14:ligatures w14:val="none"/>
        </w:rPr>
        <w:t>: Η επιλογή της Ελλάδας για τη φιλοξενία του Pharos έγινε από την Κοινή Επιχείρηση EuroHPC, καθώς εγκρίθηκε η πρόταση που υπέβαλε το Υπουργείο Ψηφιακής Διακυβέρνησης «Pharos – The Greek AI Factory for accelerating AI innovation», στο πλαίσιο της Ευρωπαϊκής Πρωτοβουλίας AI Factories της Κοινής Επιχείρησης EuroHPC. Μάλιστα, η Ελλάδα αποτελεί ένα από τα πρώτα επτά AI Factories της Ε.Ε, μαζί με τις Γερμανία, Ισπανία, Ιταλία, Λουξεμβούργο, Σουηδία, και Φινλανδία. Πρόσφατα, προστέθηκαν και οι εξής χώρες που αναμένεται να υλοποιήσουν τα δικά τους εθνικά AI Factories: Αυστρία, Βουλγαρία, Γαλλία, Γερμανία, Πολωνία και Σλοβενία.</w:t>
      </w:r>
    </w:p>
    <w:p w14:paraId="748D4B30"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r w:rsidRPr="002F2323">
        <w:rPr>
          <w:rFonts w:ascii="Times New Roman" w:eastAsia="Times New Roman" w:hAnsi="Times New Roman" w:cs="Times New Roman"/>
          <w:kern w:val="0"/>
          <w:lang w:eastAsia="el-GR"/>
          <w14:ligatures w14:val="none"/>
        </w:rPr>
        <w:br/>
      </w:r>
    </w:p>
    <w:p w14:paraId="6B8A6181" w14:textId="77777777" w:rsidR="002F2323" w:rsidRPr="005516F2" w:rsidRDefault="002F2323" w:rsidP="002F2323">
      <w:pPr>
        <w:pStyle w:val="ListParagraph"/>
        <w:numPr>
          <w:ilvl w:val="0"/>
          <w:numId w:val="63"/>
        </w:numPr>
        <w:spacing w:before="240" w:after="24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 xml:space="preserve">Q: </w:t>
      </w:r>
      <w:r w:rsidRPr="005516F2">
        <w:rPr>
          <w:rFonts w:ascii="Arial" w:eastAsia="Times New Roman" w:hAnsi="Arial" w:cs="Arial"/>
          <w:b/>
          <w:bCs/>
          <w:color w:val="000000"/>
          <w:kern w:val="0"/>
          <w:sz w:val="22"/>
          <w:szCs w:val="22"/>
          <w:lang w:eastAsia="el-GR"/>
          <w14:ligatures w14:val="none"/>
        </w:rPr>
        <w:t>Ποιοι ήταν οι καταλυτικοί παράγοντες που οδήγησαν στην ανάληψη από τη χώρα μας ενός από τα πανευρωπαϊκά εργοστάσια Τεχνητής Νοημοσύνης</w:t>
      </w:r>
    </w:p>
    <w:p w14:paraId="36CB6F73" w14:textId="77777777" w:rsidR="002F2323" w:rsidRPr="002F2323" w:rsidRDefault="002F2323" w:rsidP="002F2323">
      <w:pPr>
        <w:spacing w:before="240" w:after="24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A</w:t>
      </w:r>
      <w:r w:rsidRPr="002F2323">
        <w:rPr>
          <w:rFonts w:ascii="Arial" w:eastAsia="Times New Roman" w:hAnsi="Arial" w:cs="Arial"/>
          <w:color w:val="000000"/>
          <w:kern w:val="0"/>
          <w:sz w:val="22"/>
          <w:szCs w:val="22"/>
          <w:lang w:eastAsia="el-GR"/>
          <w14:ligatures w14:val="none"/>
        </w:rPr>
        <w:t>:</w:t>
      </w:r>
    </w:p>
    <w:p w14:paraId="357F63AC" w14:textId="5C8D6DCE" w:rsidR="002F2323" w:rsidRPr="002F2323" w:rsidRDefault="002F2323" w:rsidP="002F2323">
      <w:pPr>
        <w:numPr>
          <w:ilvl w:val="0"/>
          <w:numId w:val="48"/>
        </w:numPr>
        <w:spacing w:before="240" w:after="0" w:line="240" w:lineRule="auto"/>
        <w:ind w:left="360"/>
        <w:jc w:val="both"/>
        <w:textAlignment w:val="baseline"/>
        <w:rPr>
          <w:rFonts w:ascii="Arial" w:eastAsia="Times New Roman" w:hAnsi="Arial" w:cs="Arial"/>
          <w:color w:val="000000"/>
          <w:kern w:val="0"/>
          <w:sz w:val="22"/>
          <w:szCs w:val="22"/>
          <w:lang w:eastAsia="el-GR"/>
          <w14:ligatures w14:val="none"/>
        </w:rPr>
      </w:pPr>
      <w:r w:rsidRPr="002F2323">
        <w:rPr>
          <w:rFonts w:ascii="Arial" w:eastAsia="Times New Roman" w:hAnsi="Arial" w:cs="Arial"/>
          <w:color w:val="000000"/>
          <w:kern w:val="0"/>
          <w:sz w:val="22"/>
          <w:szCs w:val="22"/>
          <w:lang w:eastAsia="el-GR"/>
          <w14:ligatures w14:val="none"/>
        </w:rPr>
        <w:t xml:space="preserve">Η επερχόμενη κατασκευή ενός υπερσύγχρονου, αλλά και βελτιστοποιημένου για εφαρμογές τεχνητής νοημοσύνης, </w:t>
      </w:r>
      <w:proofErr w:type="spellStart"/>
      <w:r w:rsidRPr="002F2323">
        <w:rPr>
          <w:rFonts w:ascii="Arial" w:eastAsia="Times New Roman" w:hAnsi="Arial" w:cs="Arial"/>
          <w:color w:val="000000"/>
          <w:kern w:val="0"/>
          <w:sz w:val="22"/>
          <w:szCs w:val="22"/>
          <w:lang w:eastAsia="el-GR"/>
          <w14:ligatures w14:val="none"/>
        </w:rPr>
        <w:t>υπερυπολογιστή</w:t>
      </w:r>
      <w:proofErr w:type="spellEnd"/>
      <w:r w:rsidRPr="002F2323">
        <w:rPr>
          <w:rFonts w:ascii="Arial" w:eastAsia="Times New Roman" w:hAnsi="Arial" w:cs="Arial"/>
          <w:color w:val="000000"/>
          <w:kern w:val="0"/>
          <w:sz w:val="22"/>
          <w:szCs w:val="22"/>
          <w:lang w:eastAsia="el-GR"/>
          <w14:ligatures w14:val="none"/>
        </w:rPr>
        <w:t xml:space="preserve"> ΔΑΙΔΑΛΟΣ (DAEDALUS)</w:t>
      </w:r>
      <w:r>
        <w:rPr>
          <w:rFonts w:ascii="Arial" w:eastAsia="Times New Roman" w:hAnsi="Arial" w:cs="Arial"/>
          <w:color w:val="000000"/>
          <w:kern w:val="0"/>
          <w:sz w:val="22"/>
          <w:szCs w:val="22"/>
          <w:lang w:eastAsia="el-GR"/>
          <w14:ligatures w14:val="none"/>
        </w:rPr>
        <w:t>.</w:t>
      </w:r>
    </w:p>
    <w:p w14:paraId="731F8F9A" w14:textId="77777777" w:rsidR="002F2323" w:rsidRPr="002F2323" w:rsidRDefault="002F2323" w:rsidP="002F2323">
      <w:pPr>
        <w:numPr>
          <w:ilvl w:val="0"/>
          <w:numId w:val="48"/>
        </w:numPr>
        <w:spacing w:after="0" w:line="240" w:lineRule="auto"/>
        <w:ind w:left="360"/>
        <w:jc w:val="both"/>
        <w:textAlignment w:val="baseline"/>
        <w:rPr>
          <w:rFonts w:ascii="Arial" w:eastAsia="Times New Roman" w:hAnsi="Arial" w:cs="Arial"/>
          <w:color w:val="000000"/>
          <w:kern w:val="0"/>
          <w:sz w:val="22"/>
          <w:szCs w:val="22"/>
          <w:lang w:eastAsia="el-GR"/>
          <w14:ligatures w14:val="none"/>
        </w:rPr>
      </w:pPr>
      <w:r w:rsidRPr="002F2323">
        <w:rPr>
          <w:rFonts w:ascii="Arial" w:eastAsia="Times New Roman" w:hAnsi="Arial" w:cs="Arial"/>
          <w:color w:val="000000"/>
          <w:kern w:val="0"/>
          <w:sz w:val="22"/>
          <w:szCs w:val="22"/>
          <w:lang w:eastAsia="el-GR"/>
          <w14:ligatures w14:val="none"/>
        </w:rPr>
        <w:t>Η ποιότητα της κοινοπραξίας που ασχολήθηκε με το εγχείρημα, που αποτελείται από το Εθνικό Δίκτυο Υποδομών Τεχνολογίας και Έρευνας (ΕΔΥΤΕ Α.Ε. – GRNET) φορέα του Υπουργείου Ψηφιακής Διακυβέρνησης, το ερευνητικό κέντρο Δημόκριτος, το Εθνικό Μετσόβιο Πολυτεχνείο, το Ερευνητικό Κέντρο ΑΘΗΝΑ, το Υπερταμείο, το Εθνικό Κέντρο Τεκμηρίωσης, το ΕΚΕΤΑ και το Αριστοτέλειο Πανεπιστήμιο Θεσσαλονίκης, το Ινστιτούτο Τεχνολογικής Έρευνας στην Κρήτη, το Εθνικό και Καποδιστριακό Πανεπιστήμιο Αθηνών και το Πανεπιστήμιο Πειραιώς.   </w:t>
      </w:r>
    </w:p>
    <w:p w14:paraId="1CD50A26" w14:textId="77777777" w:rsidR="002F2323" w:rsidRPr="002F2323" w:rsidRDefault="002F2323" w:rsidP="002F2323">
      <w:pPr>
        <w:numPr>
          <w:ilvl w:val="0"/>
          <w:numId w:val="48"/>
        </w:numPr>
        <w:spacing w:after="240" w:line="240" w:lineRule="auto"/>
        <w:ind w:left="360"/>
        <w:jc w:val="both"/>
        <w:textAlignment w:val="baseline"/>
        <w:rPr>
          <w:rFonts w:ascii="Arial" w:eastAsia="Times New Roman" w:hAnsi="Arial" w:cs="Arial"/>
          <w:color w:val="000000"/>
          <w:kern w:val="0"/>
          <w:sz w:val="22"/>
          <w:szCs w:val="22"/>
          <w:lang w:eastAsia="el-GR"/>
          <w14:ligatures w14:val="none"/>
        </w:rPr>
      </w:pPr>
      <w:r w:rsidRPr="002F2323">
        <w:rPr>
          <w:rFonts w:ascii="Arial" w:eastAsia="Times New Roman" w:hAnsi="Arial" w:cs="Arial"/>
          <w:color w:val="000000"/>
          <w:kern w:val="0"/>
          <w:sz w:val="22"/>
          <w:szCs w:val="22"/>
          <w:lang w:eastAsia="el-GR"/>
          <w14:ligatures w14:val="none"/>
        </w:rPr>
        <w:t>Η σταθερή αρωγή της Πολιτείας και ειδικότερα του Υπουργείου Ψηφιακής Διακυβέρνησης στην κοινοπραξία που ανέλαβε την υποβολή της πρότασης, δεδομένης της προσήλωσής της στο στόχο που έχει τεθεί να γίνει η Ελλάδα πρωτοπόρος στην ψηφιακή εποχή, καθιστώντας την έναν ελκυστικό κόμβο για νεοφυείς επιχειρήσεις και επενδύσεις.</w:t>
      </w:r>
      <w:r w:rsidRPr="002F2323">
        <w:rPr>
          <w:rFonts w:ascii="Arial" w:eastAsia="Times New Roman" w:hAnsi="Arial" w:cs="Arial"/>
          <w:color w:val="000000"/>
          <w:kern w:val="0"/>
          <w:sz w:val="28"/>
          <w:szCs w:val="28"/>
          <w:lang w:eastAsia="el-GR"/>
          <w14:ligatures w14:val="none"/>
        </w:rPr>
        <w:t> </w:t>
      </w:r>
    </w:p>
    <w:p w14:paraId="33F30961"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r w:rsidRPr="002F2323">
        <w:rPr>
          <w:rFonts w:ascii="Times New Roman" w:eastAsia="Times New Roman" w:hAnsi="Times New Roman" w:cs="Times New Roman"/>
          <w:kern w:val="0"/>
          <w:lang w:eastAsia="el-GR"/>
          <w14:ligatures w14:val="none"/>
        </w:rPr>
        <w:br/>
      </w:r>
    </w:p>
    <w:p w14:paraId="0DBBA336" w14:textId="77777777" w:rsidR="002F2323" w:rsidRPr="002F2323" w:rsidRDefault="002F2323" w:rsidP="002F2323">
      <w:pPr>
        <w:pStyle w:val="ListParagraph"/>
        <w:numPr>
          <w:ilvl w:val="0"/>
          <w:numId w:val="63"/>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 Ποια η σημασία και τα οφέλη του έργου; </w:t>
      </w:r>
    </w:p>
    <w:p w14:paraId="72710157"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Α</w:t>
      </w:r>
      <w:r w:rsidRPr="002F2323">
        <w:rPr>
          <w:rFonts w:ascii="Arial" w:eastAsia="Times New Roman" w:hAnsi="Arial" w:cs="Arial"/>
          <w:color w:val="000000"/>
          <w:kern w:val="0"/>
          <w:sz w:val="22"/>
          <w:szCs w:val="22"/>
          <w:lang w:eastAsia="el-GR"/>
          <w14:ligatures w14:val="none"/>
        </w:rPr>
        <w:t>: Το AI Factory Pharos στοχεύει στη δημιουργία ενός εθνικού οικοσυστήματος Τεχνητής Νοημοσύνης (ΤΝ), προάγοντας την καινοτομία και τη συνεργασία μεταξύ ακαδημαϊκών, επιχειρηματικών και δημόσιων φορέων. Εστιάζει στους τομείς της Υγείας, της Ελληνικής Γλώσσας και του Πολιτισμού, καθώς και της Βιώσιμης Ανάπτυξης, συμβάλλοντας στην ανάπτυξη ηθικά υπεύθυνων AI εφαρμογών. Σε στενή συνεργασία με την ακαδημαϊκή κοινότητα, τις επιχειρήσεις και τους φορείς του δημόσιου τομέα, ο ΦΑΡΟΣ θα υποστηρίξει την ανάπτυξη νέων επιχειρηματικών μοντέλων και την εμπορική εκμετάλλευση καινοτόμων εφαρμογών τεχνητής νοημοσύνης. Επιπλέον, θα συμβάλλει στην ενίσχυση της ανταγωνιστικότητας της ελληνικής οικονομίας και στην επίλυση σημαντικών κοινωνικών προκλήσεων. Επιπρόσθετα, το ελληνικό εργοστάσιο τεχνητής νοημοσύνης στοχεύει να αποτελέσει κόμβο έρευνας και γνώσης και για την ευρύτερη γεωγραφική μας περιοχή, αναδεικνύοντας την Ελλάδα σε τεχνολογικό πόλο. </w:t>
      </w:r>
    </w:p>
    <w:p w14:paraId="744D65AE"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r w:rsidRPr="002F2323">
        <w:rPr>
          <w:rFonts w:ascii="Times New Roman" w:eastAsia="Times New Roman" w:hAnsi="Times New Roman" w:cs="Times New Roman"/>
          <w:kern w:val="0"/>
          <w:lang w:eastAsia="el-GR"/>
          <w14:ligatures w14:val="none"/>
        </w:rPr>
        <w:lastRenderedPageBreak/>
        <w:br/>
      </w:r>
    </w:p>
    <w:p w14:paraId="5842C6CF" w14:textId="77777777" w:rsidR="002F2323" w:rsidRPr="002F2323" w:rsidRDefault="002F2323" w:rsidP="002F2323">
      <w:pPr>
        <w:pStyle w:val="ListParagraph"/>
        <w:numPr>
          <w:ilvl w:val="0"/>
          <w:numId w:val="63"/>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 Πώς συνδέεται με τον ΔΑΙΔΑΛΟ;</w:t>
      </w:r>
    </w:p>
    <w:p w14:paraId="14D1E41E"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53292279" w14:textId="2E7734D9"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Α</w:t>
      </w:r>
      <w:r w:rsidRPr="002F2323">
        <w:rPr>
          <w:rFonts w:ascii="Arial" w:eastAsia="Times New Roman" w:hAnsi="Arial" w:cs="Arial"/>
          <w:color w:val="000000"/>
          <w:kern w:val="0"/>
          <w:sz w:val="22"/>
          <w:szCs w:val="22"/>
          <w:lang w:eastAsia="el-GR"/>
          <w14:ligatures w14:val="none"/>
        </w:rPr>
        <w:t>: Ο νέος εθνικός υπερυπολογιστής ΔΑΙΔΑΛΟΣ θα λειτουργήσει ως η υπολογιστική πλατφόρμα του AI Factory Pharos, προσφέροντας συνολικά υπολογιστική ισχύ 89 Pflops, εξασφαλίζοντας ένα σημαντικό ποσοστό αυτής για αποκλειστική χρήση από εφαρμογές Τεχνητής Νοημοσύνης μέσω του Pharos. Διαθέτει επιπλέον σύγχρονες τεχνολογίες αποθήκευσης και η σύνδεση θα γίνει μέσω της ΕΔΥΤΕ και του RE-Cloud, με ταχύτητες έως 400Gbps</w:t>
      </w:r>
      <w:r>
        <w:rPr>
          <w:rFonts w:ascii="Arial" w:eastAsia="Times New Roman" w:hAnsi="Arial" w:cs="Arial"/>
          <w:color w:val="000000"/>
          <w:kern w:val="0"/>
          <w:sz w:val="22"/>
          <w:szCs w:val="22"/>
          <w:lang w:eastAsia="el-GR"/>
          <w14:ligatures w14:val="none"/>
        </w:rPr>
        <w:t xml:space="preserve">. </w:t>
      </w:r>
      <w:r w:rsidRPr="002F2323">
        <w:rPr>
          <w:rFonts w:ascii="Arial" w:eastAsia="Times New Roman" w:hAnsi="Arial" w:cs="Arial"/>
          <w:color w:val="000000"/>
          <w:kern w:val="0"/>
          <w:sz w:val="22"/>
          <w:szCs w:val="22"/>
          <w:lang w:eastAsia="el-GR"/>
          <w14:ligatures w14:val="none"/>
        </w:rPr>
        <w:t>Ο Pharos κεφαλαιοποιεί τον υπερυπολογιστή ΔΑΙΔΑΛΟΣ (DAEDALUS), για την προώθηση μιας βιώσιμης και υπεύθυνης εθνικής στρατηγικής Τεχνητής Νοημοσύνης, προσφέροντας πρόσβαση για επιχειρήσεις και ερευνητές, σε υπολογιστικούς πόρους υψηλής απόδοσης.</w:t>
      </w:r>
    </w:p>
    <w:p w14:paraId="6C1C520C"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r w:rsidRPr="002F2323">
        <w:rPr>
          <w:rFonts w:ascii="Times New Roman" w:eastAsia="Times New Roman" w:hAnsi="Times New Roman" w:cs="Times New Roman"/>
          <w:kern w:val="0"/>
          <w:lang w:eastAsia="el-GR"/>
          <w14:ligatures w14:val="none"/>
        </w:rPr>
        <w:br/>
      </w:r>
      <w:r w:rsidRPr="002F2323">
        <w:rPr>
          <w:rFonts w:ascii="Times New Roman" w:eastAsia="Times New Roman" w:hAnsi="Times New Roman" w:cs="Times New Roman"/>
          <w:kern w:val="0"/>
          <w:lang w:eastAsia="el-GR"/>
          <w14:ligatures w14:val="none"/>
        </w:rPr>
        <w:br/>
      </w:r>
      <w:r w:rsidRPr="002F2323">
        <w:rPr>
          <w:rFonts w:ascii="Times New Roman" w:eastAsia="Times New Roman" w:hAnsi="Times New Roman" w:cs="Times New Roman"/>
          <w:kern w:val="0"/>
          <w:lang w:eastAsia="el-GR"/>
          <w14:ligatures w14:val="none"/>
        </w:rPr>
        <w:br/>
      </w:r>
    </w:p>
    <w:p w14:paraId="15848B40" w14:textId="77777777" w:rsidR="002F2323" w:rsidRPr="002F2323" w:rsidRDefault="002F2323" w:rsidP="002F2323">
      <w:pPr>
        <w:pStyle w:val="ListParagraph"/>
        <w:numPr>
          <w:ilvl w:val="0"/>
          <w:numId w:val="63"/>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w:t>
      </w:r>
      <w:r w:rsidRPr="002F2323">
        <w:rPr>
          <w:rFonts w:ascii="Arial" w:eastAsia="Times New Roman" w:hAnsi="Arial" w:cs="Arial"/>
          <w:color w:val="000000"/>
          <w:kern w:val="0"/>
          <w:sz w:val="22"/>
          <w:szCs w:val="22"/>
          <w:lang w:eastAsia="el-GR"/>
          <w14:ligatures w14:val="none"/>
        </w:rPr>
        <w:t xml:space="preserve">: </w:t>
      </w:r>
      <w:r w:rsidRPr="002F2323">
        <w:rPr>
          <w:rFonts w:ascii="Arial" w:eastAsia="Times New Roman" w:hAnsi="Arial" w:cs="Arial"/>
          <w:b/>
          <w:bCs/>
          <w:color w:val="000000"/>
          <w:kern w:val="0"/>
          <w:sz w:val="22"/>
          <w:szCs w:val="22"/>
          <w:lang w:eastAsia="el-GR"/>
          <w14:ligatures w14:val="none"/>
        </w:rPr>
        <w:t>Πώς συνδέεται ο Φάρος AI Factory Ελλάδας με το οικοσύστημα τεχνολογίας και ποιες ομάδες θα ευνοηθούν από αυτό;</w:t>
      </w:r>
    </w:p>
    <w:p w14:paraId="18DED784"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37FE9E72"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A</w:t>
      </w:r>
      <w:r w:rsidRPr="002F2323">
        <w:rPr>
          <w:rFonts w:ascii="Arial" w:eastAsia="Times New Roman" w:hAnsi="Arial" w:cs="Arial"/>
          <w:color w:val="000000"/>
          <w:kern w:val="0"/>
          <w:sz w:val="22"/>
          <w:szCs w:val="22"/>
          <w:lang w:eastAsia="el-GR"/>
          <w14:ligatures w14:val="none"/>
        </w:rPr>
        <w:t>: Το AI Factory Pharos θα έχει ευρεία επίδραση στην κοινωνία, προσφέροντας εφαρμογές σε τομείς όπως η ιατρική, η μετεωρολογία, η ανάπτυξη έξυπνων συστημάτων μεταφορών, κ.α. Η σύνδεσή του με το οικοσύστημα καινοτομίας, συμπεριλαμβανομένων startups, μικρομεσαίων επιχειρήσεων (ΜμΕ), ερευνητικών ιδρυμάτων και δημόσιων οργανισμών, θα ενισχύσει την ανάπτυξη καινοτόμων λύσεων μέσω της αξιοποίησης υπολογιστικών πόρων και εργαλείων AI.</w:t>
      </w:r>
    </w:p>
    <w:p w14:paraId="3E115DCC"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3B48218B"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color w:val="000000"/>
          <w:kern w:val="0"/>
          <w:sz w:val="22"/>
          <w:szCs w:val="22"/>
          <w:lang w:eastAsia="el-GR"/>
          <w14:ligatures w14:val="none"/>
        </w:rPr>
        <w:t>Οι πρώτες ομάδες που θα επωφεληθούν από αυτό το έργο θα είναι εκείνες που θα αξιοποιήσουν πρώτες αυτές τις τεχνολογίες, οδηγώντας στη δημιουργία νέων θέσεων εργασίας και συμβάλλοντας στην επιστροφή εξειδικευμένου προσωπικού στην Ελλάδα (brain regain). Το έργο αυτό θα ενισχύσει το οικοσύστημα καινοτομίας, προσφέροντας ευκαιρίες για την ανάπτυξη και την καινοτομία σε διάφορους τομείς.</w:t>
      </w:r>
    </w:p>
    <w:p w14:paraId="593BA172"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r w:rsidRPr="002F2323">
        <w:rPr>
          <w:rFonts w:ascii="Times New Roman" w:eastAsia="Times New Roman" w:hAnsi="Times New Roman" w:cs="Times New Roman"/>
          <w:kern w:val="0"/>
          <w:lang w:eastAsia="el-GR"/>
          <w14:ligatures w14:val="none"/>
        </w:rPr>
        <w:br/>
      </w:r>
    </w:p>
    <w:p w14:paraId="5FAD64FC" w14:textId="77777777" w:rsidR="002F2323" w:rsidRPr="002F2323" w:rsidRDefault="002F2323" w:rsidP="002F2323">
      <w:pPr>
        <w:pStyle w:val="ListParagraph"/>
        <w:numPr>
          <w:ilvl w:val="0"/>
          <w:numId w:val="63"/>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 Ποιο το όφελος για την κοινωνία, την χώρα και την ΕΕ;</w:t>
      </w:r>
    </w:p>
    <w:p w14:paraId="1A07F7D5"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3EBB6984"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A</w:t>
      </w:r>
      <w:r w:rsidRPr="002F2323">
        <w:rPr>
          <w:rFonts w:ascii="Arial" w:eastAsia="Times New Roman" w:hAnsi="Arial" w:cs="Arial"/>
          <w:color w:val="000000"/>
          <w:kern w:val="0"/>
          <w:sz w:val="22"/>
          <w:szCs w:val="22"/>
          <w:lang w:eastAsia="el-GR"/>
          <w14:ligatures w14:val="none"/>
        </w:rPr>
        <w:t>: Το AI Factory Pharos αναμένεται να ενισχύσει σημαντικά την τεχνολογική αυτονομία της Ελλάδας και της Ευρωπαϊκής Ένωσης, μειώνοντας την εξάρτηση από τρίτες χώρες. Αναμένεται να προωθήσει την υπεύθυνη χρήση της ΤΝ, να δημιουργήσει νέες θέσεις εργασίας και να προσφέρει λύσεις σε κρίσιμους τομείς, όπως η υγεία, ο πολιτισμός και το περιβάλλον.</w:t>
      </w:r>
    </w:p>
    <w:p w14:paraId="36CBBD34"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r w:rsidRPr="002F2323">
        <w:rPr>
          <w:rFonts w:ascii="Times New Roman" w:eastAsia="Times New Roman" w:hAnsi="Times New Roman" w:cs="Times New Roman"/>
          <w:kern w:val="0"/>
          <w:lang w:eastAsia="el-GR"/>
          <w14:ligatures w14:val="none"/>
        </w:rPr>
        <w:br/>
      </w:r>
    </w:p>
    <w:p w14:paraId="41263BF9" w14:textId="77777777" w:rsidR="002F2323" w:rsidRPr="002F2323" w:rsidRDefault="002F2323" w:rsidP="002F2323">
      <w:pPr>
        <w:pStyle w:val="ListParagraph"/>
        <w:numPr>
          <w:ilvl w:val="0"/>
          <w:numId w:val="63"/>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 Ποιός είναι ο προϋπολογισμός και οι πηγές χρηματοδότησης του έργου;</w:t>
      </w:r>
    </w:p>
    <w:p w14:paraId="72D78F41"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529F9B9C"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A</w:t>
      </w:r>
      <w:r w:rsidRPr="002F2323">
        <w:rPr>
          <w:rFonts w:ascii="Arial" w:eastAsia="Times New Roman" w:hAnsi="Arial" w:cs="Arial"/>
          <w:color w:val="000000"/>
          <w:kern w:val="0"/>
          <w:sz w:val="22"/>
          <w:szCs w:val="22"/>
          <w:lang w:eastAsia="el-GR"/>
          <w14:ligatures w14:val="none"/>
        </w:rPr>
        <w:t>: Το έργο έχει συνολικό προϋπολογισμό 30 εκατομμύρια ευρώ, εκ των οποίων το 50% χρηματοδοτείται από την κοινή επιχείρηση EuroHPC JU και το υπόλοιπο 50% καλύπτεται από εθνικούς πόρους.</w:t>
      </w:r>
    </w:p>
    <w:p w14:paraId="50219832"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r w:rsidRPr="002F2323">
        <w:rPr>
          <w:rFonts w:ascii="Times New Roman" w:eastAsia="Times New Roman" w:hAnsi="Times New Roman" w:cs="Times New Roman"/>
          <w:kern w:val="0"/>
          <w:lang w:eastAsia="el-GR"/>
          <w14:ligatures w14:val="none"/>
        </w:rPr>
        <w:br/>
      </w:r>
    </w:p>
    <w:p w14:paraId="33D89EEA" w14:textId="77777777" w:rsidR="002F2323" w:rsidRPr="002F2323" w:rsidRDefault="002F2323" w:rsidP="002F2323">
      <w:pPr>
        <w:pStyle w:val="ListParagraph"/>
        <w:numPr>
          <w:ilvl w:val="0"/>
          <w:numId w:val="63"/>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 Ποιοι φορείς βρίσκονται πίσω από το AI Factory Pharos;</w:t>
      </w:r>
    </w:p>
    <w:p w14:paraId="18554E4D"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1BA9AAE7" w14:textId="0AC11169"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lastRenderedPageBreak/>
        <w:t>A</w:t>
      </w:r>
      <w:r w:rsidRPr="002F2323">
        <w:rPr>
          <w:rFonts w:ascii="Arial" w:eastAsia="Times New Roman" w:hAnsi="Arial" w:cs="Arial"/>
          <w:color w:val="000000"/>
          <w:kern w:val="0"/>
          <w:sz w:val="22"/>
          <w:szCs w:val="22"/>
          <w:lang w:eastAsia="el-GR"/>
          <w14:ligatures w14:val="none"/>
        </w:rPr>
        <w:t xml:space="preserve">: Το AI Factory Pharos σχεδιάστηκε και θα υλοποιηθεί από εθνική κοινοπραξία με επικεφαλής </w:t>
      </w:r>
      <w:r w:rsidR="005516F2">
        <w:rPr>
          <w:rFonts w:ascii="Arial" w:eastAsia="Times New Roman" w:hAnsi="Arial" w:cs="Arial"/>
          <w:color w:val="000000"/>
          <w:kern w:val="0"/>
          <w:sz w:val="22"/>
          <w:szCs w:val="22"/>
          <w:lang w:eastAsia="el-GR"/>
          <w14:ligatures w14:val="none"/>
        </w:rPr>
        <w:t xml:space="preserve">το Υπουργείο Ψηφιακής Διακυβέρνησης μέσω του φορέα του, </w:t>
      </w:r>
      <w:r w:rsidRPr="002F2323">
        <w:rPr>
          <w:rFonts w:ascii="Arial" w:eastAsia="Times New Roman" w:hAnsi="Arial" w:cs="Arial"/>
          <w:color w:val="000000"/>
          <w:kern w:val="0"/>
          <w:sz w:val="22"/>
          <w:szCs w:val="22"/>
          <w:lang w:eastAsia="el-GR"/>
          <w14:ligatures w14:val="none"/>
        </w:rPr>
        <w:t>το Εθνικό Δίκτυο Υποδομών Τεχνολογίας και Έρευνας (ΕΔΥΤΕ Α.Ε. – GRNET) και εταίρους το Εθνικό Κέντρο Έρευνας Φυσικών Επιστημών Δημόκριτος (ΕΚΕΦΕ-Δ), το Εθνικό Μετσόβιο Πολυτεχνείο, το Ερευνητικό Κέντρο ΑΘΗΝΑ και το ΥΠΕΡΤΑΜΕΙΟ, σε άμεση συνεργασία με την Ειδική Γραμματεία Επιτροπής Μακροπρόθεσμου Σχεδιασμού (Strategic Foresight) της Κυβέρνησης.</w:t>
      </w:r>
    </w:p>
    <w:p w14:paraId="570E2BF8"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55B9B0F2" w14:textId="03C8BE60"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color w:val="000000"/>
          <w:kern w:val="0"/>
          <w:sz w:val="22"/>
          <w:szCs w:val="22"/>
          <w:lang w:eastAsia="el-GR"/>
          <w14:ligatures w14:val="none"/>
        </w:rPr>
        <w:t>Επιπλέον, συμμετέχουν οι ακόλουθοι φορείς: α) Εθνικό Κέντρο Έρευνας και Τεχνολογικής Ανάπτυξης (ΕΚΕΤΑ), β) Αριστοτέλειο Πανεπιστήμιο Θεσσαλονίκης (AΠΘ), γ) Εθνικό Καποδιστριακό Πανεπιστήμιο Αθηνών (ΕΚΠΑ), δ) Ίδρυμα Τεχνολογίας και Έρευνας (ΙΤΕ), ε) Πανεπιστ</w:t>
      </w:r>
      <w:r w:rsidR="005516F2">
        <w:rPr>
          <w:rFonts w:ascii="Arial" w:eastAsia="Times New Roman" w:hAnsi="Arial" w:cs="Arial"/>
          <w:color w:val="000000"/>
          <w:kern w:val="0"/>
          <w:sz w:val="22"/>
          <w:szCs w:val="22"/>
          <w:lang w:eastAsia="el-GR"/>
          <w14:ligatures w14:val="none"/>
        </w:rPr>
        <w:t xml:space="preserve">ήμιο Πειραιώς (ΠΑΠΕΙ) καθώς και το Εθνικό Κέντρο Τεκμηρίωσης (ΕΚΤ) και την ΗΔΙΚΑ Α.Ε, φορείς του Υπουργείου Ψηφιακής Διακυβέρνησης. </w:t>
      </w:r>
    </w:p>
    <w:p w14:paraId="4FC60450"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r w:rsidRPr="002F2323">
        <w:rPr>
          <w:rFonts w:ascii="Times New Roman" w:eastAsia="Times New Roman" w:hAnsi="Times New Roman" w:cs="Times New Roman"/>
          <w:kern w:val="0"/>
          <w:lang w:eastAsia="el-GR"/>
          <w14:ligatures w14:val="none"/>
        </w:rPr>
        <w:br/>
      </w:r>
    </w:p>
    <w:p w14:paraId="7AA04714" w14:textId="77777777" w:rsidR="002F2323" w:rsidRPr="002F2323" w:rsidRDefault="002F2323" w:rsidP="002F2323">
      <w:pPr>
        <w:pStyle w:val="ListParagraph"/>
        <w:numPr>
          <w:ilvl w:val="0"/>
          <w:numId w:val="63"/>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 Ποιος είναι ο ρόλος της HPE στο ευρωπαϊκό οικοσύστημα supercomputers;</w:t>
      </w:r>
    </w:p>
    <w:p w14:paraId="71D3B82F"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A</w:t>
      </w:r>
      <w:r w:rsidRPr="002F2323">
        <w:rPr>
          <w:rFonts w:ascii="Arial" w:eastAsia="Times New Roman" w:hAnsi="Arial" w:cs="Arial"/>
          <w:color w:val="000000"/>
          <w:kern w:val="0"/>
          <w:sz w:val="22"/>
          <w:szCs w:val="22"/>
          <w:lang w:eastAsia="el-GR"/>
          <w14:ligatures w14:val="none"/>
        </w:rPr>
        <w:t>: Η HPE έχει σταθερή παρουσία στο ευρωπαϊκό οικοσύστημα supercomputers και έχει συμμετάσχει σε μερικά από τα σημαντικότερα έργα της ηπείρου, όπως τα συστήματα HPC6 της Eni, Alps στην Ελβετία και το LUMI στη Φινλανδία, στο πλαίσιο EuroHPC JU. Αυτά τα έργα αντικατοπτρίζουν τη δέσμευσή μας να υποστηρίζουμε την επιστημονική πρόοδο, την τεχνολογική καινοτομία και τη συνεργασία σε ευρωπαϊκό επίπεδο, προσφέροντας τεχνολογικές λύσεις υψηλών προδιαγραφών.</w:t>
      </w:r>
    </w:p>
    <w:p w14:paraId="624DCEE5"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r w:rsidRPr="002F2323">
        <w:rPr>
          <w:rFonts w:ascii="Times New Roman" w:eastAsia="Times New Roman" w:hAnsi="Times New Roman" w:cs="Times New Roman"/>
          <w:kern w:val="0"/>
          <w:lang w:eastAsia="el-GR"/>
          <w14:ligatures w14:val="none"/>
        </w:rPr>
        <w:br/>
      </w:r>
    </w:p>
    <w:p w14:paraId="5E070FB7" w14:textId="77777777" w:rsidR="002F2323" w:rsidRPr="002F2323" w:rsidRDefault="002F2323" w:rsidP="002F2323">
      <w:pPr>
        <w:pStyle w:val="ListParagraph"/>
        <w:numPr>
          <w:ilvl w:val="0"/>
          <w:numId w:val="63"/>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 Τι σημαίνει για την HPE η ανάπτυξη παραγωγικής υπολογιστικής ισχύος άνω του 1 Exaflop στην Ευρώπη;</w:t>
      </w:r>
    </w:p>
    <w:p w14:paraId="4FF2C83B"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A</w:t>
      </w:r>
      <w:r w:rsidRPr="002F2323">
        <w:rPr>
          <w:rFonts w:ascii="Arial" w:eastAsia="Times New Roman" w:hAnsi="Arial" w:cs="Arial"/>
          <w:color w:val="000000"/>
          <w:kern w:val="0"/>
          <w:sz w:val="22"/>
          <w:szCs w:val="22"/>
          <w:lang w:eastAsia="el-GR"/>
          <w14:ligatures w14:val="none"/>
        </w:rPr>
        <w:t>: Η συγκέντρωση supercomputers σε ευρωπαϊκές χώρες, όπως η Φινλανδία, η Ιταλία, η Ελβετία, το Ηνωμένο Βασίλειο αλλά και η Ελλάδα, επιβεβαιώνει τον ενεργό ρόλο της HPE στην υποστήριξη κρίσιμων εθνικών και ευρωπαϊκών πρωτοβουλιών. Πιστεύουμε ότι τέτοιες υποδομές ενισχύουν την ικανότητα της Ευρώπης να ανταποκριθεί σε ερευνητικές, βιομηχανικές και κοινωνικές προκλήσεις, παρέχοντας πρόσβαση σε πόρους υψηλής απόδοσης.</w:t>
      </w:r>
    </w:p>
    <w:p w14:paraId="2FF856BA"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6523E87F"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u w:val="single"/>
          <w:lang w:eastAsia="el-GR"/>
          <w14:ligatures w14:val="none"/>
        </w:rPr>
        <w:t>Sustainability</w:t>
      </w:r>
    </w:p>
    <w:p w14:paraId="2D9B428E" w14:textId="77777777" w:rsidR="002F2323" w:rsidRPr="002F2323" w:rsidRDefault="002F2323" w:rsidP="002F2323">
      <w:pPr>
        <w:pStyle w:val="ListParagraph"/>
        <w:numPr>
          <w:ilvl w:val="0"/>
          <w:numId w:val="63"/>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 Ποια είναι η θέση της HPE σε θέματα βιωσιμότητας, ιδιαίτερα σε έργα HPC;</w:t>
      </w:r>
    </w:p>
    <w:p w14:paraId="38550313"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color w:val="000000"/>
          <w:kern w:val="0"/>
          <w:sz w:val="22"/>
          <w:szCs w:val="22"/>
          <w:lang w:eastAsia="el-GR"/>
          <w14:ligatures w14:val="none"/>
        </w:rPr>
        <w:t>A: Η HPE προσεγγίζει τη βιωσιμότητα ως κρίσιμο παράγοντα σχεδιασμού και υλοποίησης των λύσεών της. Συστήματα όπως το LUMI, που βασίζονται σε ανανεώσιμες πηγές ενέργειας και ενεργειακά αποδοτική αρχιτεκτονική, αποτελούν καλό παράδειγμα της προσέγγισής μας. Επιπλέον, η δυνατότητα κατασκευής λύσεων HPC εντός της Ε.Ε., όπως στο εργοστάσιό μας στην Τσεχία, ενισχύει τη βιωσιμότητα της ευρωπαϊκής παραγωγής και εφοδιαστικής αλυσίδας.</w:t>
      </w:r>
    </w:p>
    <w:p w14:paraId="3063C04D"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7DD51FFD"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u w:val="single"/>
          <w:lang w:eastAsia="el-GR"/>
          <w14:ligatures w14:val="none"/>
        </w:rPr>
        <w:t>Ο ρόλος της Ελλάδας</w:t>
      </w:r>
    </w:p>
    <w:p w14:paraId="74391AD4"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r w:rsidRPr="002F2323">
        <w:rPr>
          <w:rFonts w:ascii="Times New Roman" w:eastAsia="Times New Roman" w:hAnsi="Times New Roman" w:cs="Times New Roman"/>
          <w:kern w:val="0"/>
          <w:lang w:eastAsia="el-GR"/>
          <w14:ligatures w14:val="none"/>
        </w:rPr>
        <w:br/>
      </w:r>
    </w:p>
    <w:p w14:paraId="4DC722D6" w14:textId="77777777" w:rsidR="002F2323" w:rsidRPr="002F2323" w:rsidRDefault="002F2323" w:rsidP="002F2323">
      <w:pPr>
        <w:pStyle w:val="ListParagraph"/>
        <w:numPr>
          <w:ilvl w:val="0"/>
          <w:numId w:val="63"/>
        </w:numPr>
        <w:spacing w:after="0" w:line="240" w:lineRule="auto"/>
        <w:jc w:val="both"/>
        <w:textAlignment w:val="baseline"/>
        <w:rPr>
          <w:rFonts w:ascii="Arial" w:eastAsia="Times New Roman" w:hAnsi="Arial" w:cs="Arial"/>
          <w:b/>
          <w:bCs/>
          <w:color w:val="000000"/>
          <w:kern w:val="0"/>
          <w:sz w:val="22"/>
          <w:szCs w:val="22"/>
          <w:lang w:eastAsia="el-GR"/>
          <w14:ligatures w14:val="none"/>
        </w:rPr>
      </w:pPr>
      <w:r w:rsidRPr="002F2323">
        <w:rPr>
          <w:rFonts w:ascii="Arial" w:eastAsia="Times New Roman" w:hAnsi="Arial" w:cs="Arial"/>
          <w:b/>
          <w:bCs/>
          <w:color w:val="000000"/>
          <w:kern w:val="0"/>
          <w:sz w:val="22"/>
          <w:szCs w:val="22"/>
          <w:lang w:eastAsia="el-GR"/>
          <w14:ligatures w14:val="none"/>
        </w:rPr>
        <w:t>Q: Θεωρείτε ότι η Ελλάδα έχει τη δυναμική να εξελιχθεί σε τεχνολογικό κόμβο στη ΝΑ Ευρώπη; Πώς μπορεί να συμβάλει η HPE σε αυτό;</w:t>
      </w:r>
    </w:p>
    <w:p w14:paraId="6B905444" w14:textId="77777777" w:rsidR="002F2323" w:rsidRPr="002F2323" w:rsidRDefault="002F2323" w:rsidP="002F2323">
      <w:pPr>
        <w:spacing w:after="0" w:line="240" w:lineRule="auto"/>
        <w:rPr>
          <w:rFonts w:ascii="Times New Roman" w:eastAsia="Times New Roman" w:hAnsi="Times New Roman" w:cs="Times New Roman"/>
          <w:kern w:val="0"/>
          <w:lang w:eastAsia="el-GR"/>
          <w14:ligatures w14:val="none"/>
        </w:rPr>
      </w:pPr>
    </w:p>
    <w:p w14:paraId="1AFD9D75" w14:textId="77777777" w:rsidR="002F2323" w:rsidRPr="002F2323" w:rsidRDefault="002F2323" w:rsidP="002F2323">
      <w:pPr>
        <w:spacing w:after="0" w:line="240" w:lineRule="auto"/>
        <w:jc w:val="both"/>
        <w:rPr>
          <w:rFonts w:ascii="Times New Roman" w:eastAsia="Times New Roman" w:hAnsi="Times New Roman" w:cs="Times New Roman"/>
          <w:kern w:val="0"/>
          <w:lang w:eastAsia="el-GR"/>
          <w14:ligatures w14:val="none"/>
        </w:rPr>
      </w:pPr>
      <w:r w:rsidRPr="002F2323">
        <w:rPr>
          <w:rFonts w:ascii="Arial" w:eastAsia="Times New Roman" w:hAnsi="Arial" w:cs="Arial"/>
          <w:b/>
          <w:bCs/>
          <w:color w:val="000000"/>
          <w:kern w:val="0"/>
          <w:sz w:val="22"/>
          <w:szCs w:val="22"/>
          <w:lang w:eastAsia="el-GR"/>
          <w14:ligatures w14:val="none"/>
        </w:rPr>
        <w:t>A</w:t>
      </w:r>
      <w:r w:rsidRPr="002F2323">
        <w:rPr>
          <w:rFonts w:ascii="Arial" w:eastAsia="Times New Roman" w:hAnsi="Arial" w:cs="Arial"/>
          <w:color w:val="000000"/>
          <w:kern w:val="0"/>
          <w:sz w:val="22"/>
          <w:szCs w:val="22"/>
          <w:lang w:eastAsia="el-GR"/>
          <w14:ligatures w14:val="none"/>
        </w:rPr>
        <w:t xml:space="preserve">: Η Ελλάδα διαθέτει το ταλέντο, τη γεωπολιτική θέση, και πλέον και τις κατάλληλες υποδομές για να εξελιχθεί σε περιφερειακό hub καινοτομίας. Η HPE μπορεί να συμβάλει ενεργά προσφέροντας τεχνογνωσία, πρόσβαση σε διεθνή οικοσυστήματα, </w:t>
      </w:r>
      <w:r w:rsidRPr="002F2323">
        <w:rPr>
          <w:rFonts w:ascii="Arial" w:eastAsia="Times New Roman" w:hAnsi="Arial" w:cs="Arial"/>
          <w:color w:val="000000"/>
          <w:kern w:val="0"/>
          <w:sz w:val="22"/>
          <w:szCs w:val="22"/>
          <w:lang w:eastAsia="el-GR"/>
          <w14:ligatures w14:val="none"/>
        </w:rPr>
        <w:lastRenderedPageBreak/>
        <w:t>και λύσεις αιχμής που δίνουν τη δυνατότητα σε επιχειρήσεις, οργανισμούς και startups να καινοτομούν, να κλιμακώνουν και να εξάγουν τεχνολογία.</w:t>
      </w:r>
    </w:p>
    <w:p w14:paraId="2816F77E" w14:textId="77777777" w:rsidR="002F2323" w:rsidRDefault="002F2323"/>
    <w:sectPr w:rsidR="002F23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E02"/>
    <w:multiLevelType w:val="multilevel"/>
    <w:tmpl w:val="4BA6A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97BD5"/>
    <w:multiLevelType w:val="hybridMultilevel"/>
    <w:tmpl w:val="6FEE8298"/>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F22712"/>
    <w:multiLevelType w:val="hybridMultilevel"/>
    <w:tmpl w:val="960828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411648"/>
    <w:multiLevelType w:val="multilevel"/>
    <w:tmpl w:val="1B9A2F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41DA8"/>
    <w:multiLevelType w:val="multilevel"/>
    <w:tmpl w:val="C73241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917025"/>
    <w:multiLevelType w:val="multilevel"/>
    <w:tmpl w:val="12AE01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993521"/>
    <w:multiLevelType w:val="hybridMultilevel"/>
    <w:tmpl w:val="098A41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8F3443"/>
    <w:multiLevelType w:val="multilevel"/>
    <w:tmpl w:val="36A25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D4137A"/>
    <w:multiLevelType w:val="multilevel"/>
    <w:tmpl w:val="C7DA9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6C29AA"/>
    <w:multiLevelType w:val="multilevel"/>
    <w:tmpl w:val="360E08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6520B0"/>
    <w:multiLevelType w:val="multilevel"/>
    <w:tmpl w:val="817A9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FF421C"/>
    <w:multiLevelType w:val="multilevel"/>
    <w:tmpl w:val="E07219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F03347"/>
    <w:multiLevelType w:val="multilevel"/>
    <w:tmpl w:val="F6F474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953D44"/>
    <w:multiLevelType w:val="multilevel"/>
    <w:tmpl w:val="3B7A3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7F1776"/>
    <w:multiLevelType w:val="hybridMultilevel"/>
    <w:tmpl w:val="2B76A5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D0C697C"/>
    <w:multiLevelType w:val="multilevel"/>
    <w:tmpl w:val="2CB6A5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D944F6"/>
    <w:multiLevelType w:val="multilevel"/>
    <w:tmpl w:val="A3A6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4A2795"/>
    <w:multiLevelType w:val="multilevel"/>
    <w:tmpl w:val="639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9763A6"/>
    <w:multiLevelType w:val="multilevel"/>
    <w:tmpl w:val="556C67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704086"/>
    <w:multiLevelType w:val="multilevel"/>
    <w:tmpl w:val="31AAD2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C61D1E"/>
    <w:multiLevelType w:val="multilevel"/>
    <w:tmpl w:val="9AF2E4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D7601C"/>
    <w:multiLevelType w:val="multilevel"/>
    <w:tmpl w:val="A8C4EC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F736FA"/>
    <w:multiLevelType w:val="multilevel"/>
    <w:tmpl w:val="842890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3D29B7"/>
    <w:multiLevelType w:val="hybridMultilevel"/>
    <w:tmpl w:val="BE7896E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5EF27B3"/>
    <w:multiLevelType w:val="multilevel"/>
    <w:tmpl w:val="6CEC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817CB5"/>
    <w:multiLevelType w:val="multilevel"/>
    <w:tmpl w:val="06066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B467EF"/>
    <w:multiLevelType w:val="multilevel"/>
    <w:tmpl w:val="2A52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B34662"/>
    <w:multiLevelType w:val="multilevel"/>
    <w:tmpl w:val="D21E69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0B51D3"/>
    <w:multiLevelType w:val="multilevel"/>
    <w:tmpl w:val="828A6D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E05639"/>
    <w:multiLevelType w:val="multilevel"/>
    <w:tmpl w:val="0DFCDA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4F2B00"/>
    <w:multiLevelType w:val="multilevel"/>
    <w:tmpl w:val="A112DF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F91F40"/>
    <w:multiLevelType w:val="multilevel"/>
    <w:tmpl w:val="0750C3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DB02C5"/>
    <w:multiLevelType w:val="multilevel"/>
    <w:tmpl w:val="FDA432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5A0CA7"/>
    <w:multiLevelType w:val="multilevel"/>
    <w:tmpl w:val="2F5C67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A54F35"/>
    <w:multiLevelType w:val="multilevel"/>
    <w:tmpl w:val="C94290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687D1F"/>
    <w:multiLevelType w:val="multilevel"/>
    <w:tmpl w:val="BE066C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E269E7"/>
    <w:multiLevelType w:val="multilevel"/>
    <w:tmpl w:val="1334F9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7A32FA"/>
    <w:multiLevelType w:val="multilevel"/>
    <w:tmpl w:val="B6B271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091BFC"/>
    <w:multiLevelType w:val="multilevel"/>
    <w:tmpl w:val="A7120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526656"/>
    <w:multiLevelType w:val="multilevel"/>
    <w:tmpl w:val="9998F3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6C3A57"/>
    <w:multiLevelType w:val="multilevel"/>
    <w:tmpl w:val="BE2E9E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13443D"/>
    <w:multiLevelType w:val="multilevel"/>
    <w:tmpl w:val="47AE438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370BB7"/>
    <w:multiLevelType w:val="multilevel"/>
    <w:tmpl w:val="47C6C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C4C0798"/>
    <w:multiLevelType w:val="multilevel"/>
    <w:tmpl w:val="F4760B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0138E0"/>
    <w:multiLevelType w:val="multilevel"/>
    <w:tmpl w:val="776251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D474702"/>
    <w:multiLevelType w:val="multilevel"/>
    <w:tmpl w:val="B81E0C7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CC372D"/>
    <w:multiLevelType w:val="multilevel"/>
    <w:tmpl w:val="DBBA2B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FE9261B"/>
    <w:multiLevelType w:val="multilevel"/>
    <w:tmpl w:val="04F802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ED5974"/>
    <w:multiLevelType w:val="multilevel"/>
    <w:tmpl w:val="33F2332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30C163E"/>
    <w:multiLevelType w:val="multilevel"/>
    <w:tmpl w:val="006EDC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647B28"/>
    <w:multiLevelType w:val="multilevel"/>
    <w:tmpl w:val="DEFC04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65C12FC"/>
    <w:multiLevelType w:val="multilevel"/>
    <w:tmpl w:val="1E761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9843697"/>
    <w:multiLevelType w:val="multilevel"/>
    <w:tmpl w:val="16646D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6979D6"/>
    <w:multiLevelType w:val="multilevel"/>
    <w:tmpl w:val="970896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A7B3B64"/>
    <w:multiLevelType w:val="multilevel"/>
    <w:tmpl w:val="6DAA7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FC81DAB"/>
    <w:multiLevelType w:val="multilevel"/>
    <w:tmpl w:val="C2D27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2FB4741"/>
    <w:multiLevelType w:val="multilevel"/>
    <w:tmpl w:val="A468C0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4A41161"/>
    <w:multiLevelType w:val="multilevel"/>
    <w:tmpl w:val="DD5494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4E84602"/>
    <w:multiLevelType w:val="multilevel"/>
    <w:tmpl w:val="F5985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CD6749"/>
    <w:multiLevelType w:val="multilevel"/>
    <w:tmpl w:val="620601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391E19"/>
    <w:multiLevelType w:val="multilevel"/>
    <w:tmpl w:val="ACF4B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CC03342"/>
    <w:multiLevelType w:val="multilevel"/>
    <w:tmpl w:val="3C784A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DD35899"/>
    <w:multiLevelType w:val="multilevel"/>
    <w:tmpl w:val="7910B6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1344308">
    <w:abstractNumId w:val="10"/>
  </w:num>
  <w:num w:numId="2" w16cid:durableId="1808666732">
    <w:abstractNumId w:val="60"/>
    <w:lvlOverride w:ilvl="0">
      <w:lvl w:ilvl="0">
        <w:numFmt w:val="decimal"/>
        <w:lvlText w:val="%1."/>
        <w:lvlJc w:val="left"/>
      </w:lvl>
    </w:lvlOverride>
  </w:num>
  <w:num w:numId="3" w16cid:durableId="109739251">
    <w:abstractNumId w:val="0"/>
    <w:lvlOverride w:ilvl="0">
      <w:lvl w:ilvl="0">
        <w:numFmt w:val="decimal"/>
        <w:lvlText w:val="%1."/>
        <w:lvlJc w:val="left"/>
      </w:lvl>
    </w:lvlOverride>
  </w:num>
  <w:num w:numId="4" w16cid:durableId="1581911744">
    <w:abstractNumId w:val="9"/>
    <w:lvlOverride w:ilvl="0">
      <w:lvl w:ilvl="0">
        <w:numFmt w:val="decimal"/>
        <w:lvlText w:val="%1."/>
        <w:lvlJc w:val="left"/>
      </w:lvl>
    </w:lvlOverride>
  </w:num>
  <w:num w:numId="5" w16cid:durableId="1198471172">
    <w:abstractNumId w:val="30"/>
    <w:lvlOverride w:ilvl="0">
      <w:lvl w:ilvl="0">
        <w:numFmt w:val="decimal"/>
        <w:lvlText w:val="%1."/>
        <w:lvlJc w:val="left"/>
      </w:lvl>
    </w:lvlOverride>
  </w:num>
  <w:num w:numId="6" w16cid:durableId="1053969201">
    <w:abstractNumId w:val="13"/>
  </w:num>
  <w:num w:numId="7" w16cid:durableId="313531154">
    <w:abstractNumId w:val="38"/>
    <w:lvlOverride w:ilvl="0">
      <w:lvl w:ilvl="0">
        <w:numFmt w:val="decimal"/>
        <w:lvlText w:val="%1."/>
        <w:lvlJc w:val="left"/>
      </w:lvl>
    </w:lvlOverride>
  </w:num>
  <w:num w:numId="8" w16cid:durableId="1030642954">
    <w:abstractNumId w:val="28"/>
    <w:lvlOverride w:ilvl="0">
      <w:lvl w:ilvl="0">
        <w:numFmt w:val="decimal"/>
        <w:lvlText w:val="%1."/>
        <w:lvlJc w:val="left"/>
      </w:lvl>
    </w:lvlOverride>
  </w:num>
  <w:num w:numId="9" w16cid:durableId="1028214482">
    <w:abstractNumId w:val="8"/>
    <w:lvlOverride w:ilvl="0">
      <w:lvl w:ilvl="0">
        <w:numFmt w:val="decimal"/>
        <w:lvlText w:val="%1."/>
        <w:lvlJc w:val="left"/>
      </w:lvl>
    </w:lvlOverride>
  </w:num>
  <w:num w:numId="10" w16cid:durableId="1347098834">
    <w:abstractNumId w:val="54"/>
    <w:lvlOverride w:ilvl="0">
      <w:lvl w:ilvl="0">
        <w:numFmt w:val="decimal"/>
        <w:lvlText w:val="%1."/>
        <w:lvlJc w:val="left"/>
      </w:lvl>
    </w:lvlOverride>
  </w:num>
  <w:num w:numId="11" w16cid:durableId="2029134934">
    <w:abstractNumId w:val="52"/>
    <w:lvlOverride w:ilvl="0">
      <w:lvl w:ilvl="0">
        <w:numFmt w:val="decimal"/>
        <w:lvlText w:val="%1."/>
        <w:lvlJc w:val="left"/>
      </w:lvl>
    </w:lvlOverride>
  </w:num>
  <w:num w:numId="12" w16cid:durableId="2029674778">
    <w:abstractNumId w:val="17"/>
  </w:num>
  <w:num w:numId="13" w16cid:durableId="447167405">
    <w:abstractNumId w:val="43"/>
    <w:lvlOverride w:ilvl="0">
      <w:lvl w:ilvl="0">
        <w:numFmt w:val="decimal"/>
        <w:lvlText w:val="%1."/>
        <w:lvlJc w:val="left"/>
      </w:lvl>
    </w:lvlOverride>
  </w:num>
  <w:num w:numId="14" w16cid:durableId="481822781">
    <w:abstractNumId w:val="11"/>
    <w:lvlOverride w:ilvl="0">
      <w:lvl w:ilvl="0">
        <w:numFmt w:val="decimal"/>
        <w:lvlText w:val="%1."/>
        <w:lvlJc w:val="left"/>
      </w:lvl>
    </w:lvlOverride>
  </w:num>
  <w:num w:numId="15" w16cid:durableId="511457420">
    <w:abstractNumId w:val="3"/>
    <w:lvlOverride w:ilvl="0">
      <w:lvl w:ilvl="0">
        <w:numFmt w:val="decimal"/>
        <w:lvlText w:val="%1."/>
        <w:lvlJc w:val="left"/>
      </w:lvl>
    </w:lvlOverride>
  </w:num>
  <w:num w:numId="16" w16cid:durableId="425883371">
    <w:abstractNumId w:val="25"/>
  </w:num>
  <w:num w:numId="17" w16cid:durableId="759444594">
    <w:abstractNumId w:val="56"/>
    <w:lvlOverride w:ilvl="0">
      <w:lvl w:ilvl="0">
        <w:numFmt w:val="decimal"/>
        <w:lvlText w:val="%1."/>
        <w:lvlJc w:val="left"/>
      </w:lvl>
    </w:lvlOverride>
  </w:num>
  <w:num w:numId="18" w16cid:durableId="1942226531">
    <w:abstractNumId w:val="22"/>
    <w:lvlOverride w:ilvl="0">
      <w:lvl w:ilvl="0">
        <w:numFmt w:val="decimal"/>
        <w:lvlText w:val="%1."/>
        <w:lvlJc w:val="left"/>
      </w:lvl>
    </w:lvlOverride>
  </w:num>
  <w:num w:numId="19" w16cid:durableId="959381666">
    <w:abstractNumId w:val="26"/>
  </w:num>
  <w:num w:numId="20" w16cid:durableId="738752654">
    <w:abstractNumId w:val="50"/>
    <w:lvlOverride w:ilvl="0">
      <w:lvl w:ilvl="0">
        <w:numFmt w:val="decimal"/>
        <w:lvlText w:val="%1."/>
        <w:lvlJc w:val="left"/>
      </w:lvl>
    </w:lvlOverride>
  </w:num>
  <w:num w:numId="21" w16cid:durableId="519784985">
    <w:abstractNumId w:val="32"/>
    <w:lvlOverride w:ilvl="0">
      <w:lvl w:ilvl="0">
        <w:numFmt w:val="decimal"/>
        <w:lvlText w:val="%1."/>
        <w:lvlJc w:val="left"/>
      </w:lvl>
    </w:lvlOverride>
  </w:num>
  <w:num w:numId="22" w16cid:durableId="2042854534">
    <w:abstractNumId w:val="31"/>
    <w:lvlOverride w:ilvl="0">
      <w:lvl w:ilvl="0">
        <w:numFmt w:val="decimal"/>
        <w:lvlText w:val="%1."/>
        <w:lvlJc w:val="left"/>
      </w:lvl>
    </w:lvlOverride>
  </w:num>
  <w:num w:numId="23" w16cid:durableId="1004355407">
    <w:abstractNumId w:val="20"/>
    <w:lvlOverride w:ilvl="0">
      <w:lvl w:ilvl="0">
        <w:numFmt w:val="decimal"/>
        <w:lvlText w:val="%1."/>
        <w:lvlJc w:val="left"/>
      </w:lvl>
    </w:lvlOverride>
  </w:num>
  <w:num w:numId="24" w16cid:durableId="1623533165">
    <w:abstractNumId w:val="36"/>
    <w:lvlOverride w:ilvl="0">
      <w:lvl w:ilvl="0">
        <w:numFmt w:val="decimal"/>
        <w:lvlText w:val="%1."/>
        <w:lvlJc w:val="left"/>
      </w:lvl>
    </w:lvlOverride>
  </w:num>
  <w:num w:numId="25" w16cid:durableId="1776748673">
    <w:abstractNumId w:val="4"/>
    <w:lvlOverride w:ilvl="0">
      <w:lvl w:ilvl="0">
        <w:numFmt w:val="decimal"/>
        <w:lvlText w:val="%1."/>
        <w:lvlJc w:val="left"/>
      </w:lvl>
    </w:lvlOverride>
  </w:num>
  <w:num w:numId="26" w16cid:durableId="1516306947">
    <w:abstractNumId w:val="12"/>
    <w:lvlOverride w:ilvl="0">
      <w:lvl w:ilvl="0">
        <w:numFmt w:val="decimal"/>
        <w:lvlText w:val="%1."/>
        <w:lvlJc w:val="left"/>
      </w:lvl>
    </w:lvlOverride>
  </w:num>
  <w:num w:numId="27" w16cid:durableId="472211332">
    <w:abstractNumId w:val="45"/>
    <w:lvlOverride w:ilvl="0">
      <w:lvl w:ilvl="0">
        <w:numFmt w:val="decimal"/>
        <w:lvlText w:val="%1."/>
        <w:lvlJc w:val="left"/>
      </w:lvl>
    </w:lvlOverride>
  </w:num>
  <w:num w:numId="28" w16cid:durableId="1139374968">
    <w:abstractNumId w:val="57"/>
    <w:lvlOverride w:ilvl="0">
      <w:lvl w:ilvl="0">
        <w:numFmt w:val="decimal"/>
        <w:lvlText w:val="%1."/>
        <w:lvlJc w:val="left"/>
      </w:lvl>
    </w:lvlOverride>
  </w:num>
  <w:num w:numId="29" w16cid:durableId="448403467">
    <w:abstractNumId w:val="47"/>
    <w:lvlOverride w:ilvl="0">
      <w:lvl w:ilvl="0">
        <w:numFmt w:val="decimal"/>
        <w:lvlText w:val="%1."/>
        <w:lvlJc w:val="left"/>
      </w:lvl>
    </w:lvlOverride>
  </w:num>
  <w:num w:numId="30" w16cid:durableId="1596593751">
    <w:abstractNumId w:val="55"/>
  </w:num>
  <w:num w:numId="31" w16cid:durableId="63600800">
    <w:abstractNumId w:val="27"/>
    <w:lvlOverride w:ilvl="0">
      <w:lvl w:ilvl="0">
        <w:numFmt w:val="decimal"/>
        <w:lvlText w:val="%1."/>
        <w:lvlJc w:val="left"/>
      </w:lvl>
    </w:lvlOverride>
  </w:num>
  <w:num w:numId="32" w16cid:durableId="2066176529">
    <w:abstractNumId w:val="40"/>
    <w:lvlOverride w:ilvl="0">
      <w:lvl w:ilvl="0">
        <w:numFmt w:val="decimal"/>
        <w:lvlText w:val="%1."/>
        <w:lvlJc w:val="left"/>
      </w:lvl>
    </w:lvlOverride>
  </w:num>
  <w:num w:numId="33" w16cid:durableId="1293365146">
    <w:abstractNumId w:val="49"/>
    <w:lvlOverride w:ilvl="0">
      <w:lvl w:ilvl="0">
        <w:numFmt w:val="decimal"/>
        <w:lvlText w:val="%1."/>
        <w:lvlJc w:val="left"/>
      </w:lvl>
    </w:lvlOverride>
  </w:num>
  <w:num w:numId="34" w16cid:durableId="389503827">
    <w:abstractNumId w:val="51"/>
    <w:lvlOverride w:ilvl="0">
      <w:lvl w:ilvl="0">
        <w:numFmt w:val="decimal"/>
        <w:lvlText w:val="%1."/>
        <w:lvlJc w:val="left"/>
      </w:lvl>
    </w:lvlOverride>
  </w:num>
  <w:num w:numId="35" w16cid:durableId="368799751">
    <w:abstractNumId w:val="24"/>
  </w:num>
  <w:num w:numId="36" w16cid:durableId="1201210422">
    <w:abstractNumId w:val="7"/>
    <w:lvlOverride w:ilvl="0">
      <w:lvl w:ilvl="0">
        <w:numFmt w:val="decimal"/>
        <w:lvlText w:val="%1."/>
        <w:lvlJc w:val="left"/>
      </w:lvl>
    </w:lvlOverride>
  </w:num>
  <w:num w:numId="37" w16cid:durableId="1033187455">
    <w:abstractNumId w:val="42"/>
    <w:lvlOverride w:ilvl="0">
      <w:lvl w:ilvl="0">
        <w:numFmt w:val="decimal"/>
        <w:lvlText w:val="%1."/>
        <w:lvlJc w:val="left"/>
      </w:lvl>
    </w:lvlOverride>
  </w:num>
  <w:num w:numId="38" w16cid:durableId="2005890085">
    <w:abstractNumId w:val="34"/>
    <w:lvlOverride w:ilvl="0">
      <w:lvl w:ilvl="0">
        <w:numFmt w:val="decimal"/>
        <w:lvlText w:val="%1."/>
        <w:lvlJc w:val="left"/>
      </w:lvl>
    </w:lvlOverride>
  </w:num>
  <w:num w:numId="39" w16cid:durableId="1101492809">
    <w:abstractNumId w:val="61"/>
    <w:lvlOverride w:ilvl="0">
      <w:lvl w:ilvl="0">
        <w:numFmt w:val="decimal"/>
        <w:lvlText w:val="%1."/>
        <w:lvlJc w:val="left"/>
      </w:lvl>
    </w:lvlOverride>
  </w:num>
  <w:num w:numId="40" w16cid:durableId="1725367225">
    <w:abstractNumId w:val="33"/>
    <w:lvlOverride w:ilvl="0">
      <w:lvl w:ilvl="0">
        <w:numFmt w:val="decimal"/>
        <w:lvlText w:val="%1."/>
        <w:lvlJc w:val="left"/>
      </w:lvl>
    </w:lvlOverride>
  </w:num>
  <w:num w:numId="41" w16cid:durableId="767964409">
    <w:abstractNumId w:val="48"/>
  </w:num>
  <w:num w:numId="42" w16cid:durableId="736976041">
    <w:abstractNumId w:val="62"/>
    <w:lvlOverride w:ilvl="0">
      <w:lvl w:ilvl="0">
        <w:numFmt w:val="decimal"/>
        <w:lvlText w:val="%1."/>
        <w:lvlJc w:val="left"/>
      </w:lvl>
    </w:lvlOverride>
  </w:num>
  <w:num w:numId="43" w16cid:durableId="810755628">
    <w:abstractNumId w:val="39"/>
    <w:lvlOverride w:ilvl="0">
      <w:lvl w:ilvl="0">
        <w:numFmt w:val="decimal"/>
        <w:lvlText w:val="%1."/>
        <w:lvlJc w:val="left"/>
      </w:lvl>
    </w:lvlOverride>
  </w:num>
  <w:num w:numId="44" w16cid:durableId="1171333769">
    <w:abstractNumId w:val="44"/>
    <w:lvlOverride w:ilvl="0">
      <w:lvl w:ilvl="0">
        <w:numFmt w:val="decimal"/>
        <w:lvlText w:val="%1."/>
        <w:lvlJc w:val="left"/>
      </w:lvl>
    </w:lvlOverride>
  </w:num>
  <w:num w:numId="45" w16cid:durableId="124275127">
    <w:abstractNumId w:val="58"/>
  </w:num>
  <w:num w:numId="46" w16cid:durableId="1132863373">
    <w:abstractNumId w:val="19"/>
    <w:lvlOverride w:ilvl="0">
      <w:lvl w:ilvl="0">
        <w:numFmt w:val="decimal"/>
        <w:lvlText w:val="%1."/>
        <w:lvlJc w:val="left"/>
      </w:lvl>
    </w:lvlOverride>
  </w:num>
  <w:num w:numId="47" w16cid:durableId="609821283">
    <w:abstractNumId w:val="18"/>
    <w:lvlOverride w:ilvl="0">
      <w:lvl w:ilvl="0">
        <w:numFmt w:val="decimal"/>
        <w:lvlText w:val="%1."/>
        <w:lvlJc w:val="left"/>
      </w:lvl>
    </w:lvlOverride>
  </w:num>
  <w:num w:numId="48" w16cid:durableId="1049038205">
    <w:abstractNumId w:val="16"/>
  </w:num>
  <w:num w:numId="49" w16cid:durableId="255753877">
    <w:abstractNumId w:val="15"/>
    <w:lvlOverride w:ilvl="0">
      <w:lvl w:ilvl="0">
        <w:numFmt w:val="decimal"/>
        <w:lvlText w:val="%1."/>
        <w:lvlJc w:val="left"/>
      </w:lvl>
    </w:lvlOverride>
  </w:num>
  <w:num w:numId="50" w16cid:durableId="2018455611">
    <w:abstractNumId w:val="29"/>
    <w:lvlOverride w:ilvl="0">
      <w:lvl w:ilvl="0">
        <w:numFmt w:val="decimal"/>
        <w:lvlText w:val="%1."/>
        <w:lvlJc w:val="left"/>
      </w:lvl>
    </w:lvlOverride>
  </w:num>
  <w:num w:numId="51" w16cid:durableId="1688218101">
    <w:abstractNumId w:val="21"/>
    <w:lvlOverride w:ilvl="0">
      <w:lvl w:ilvl="0">
        <w:numFmt w:val="decimal"/>
        <w:lvlText w:val="%1."/>
        <w:lvlJc w:val="left"/>
      </w:lvl>
    </w:lvlOverride>
  </w:num>
  <w:num w:numId="52" w16cid:durableId="940182291">
    <w:abstractNumId w:val="46"/>
    <w:lvlOverride w:ilvl="0">
      <w:lvl w:ilvl="0">
        <w:numFmt w:val="decimal"/>
        <w:lvlText w:val="%1."/>
        <w:lvlJc w:val="left"/>
      </w:lvl>
    </w:lvlOverride>
  </w:num>
  <w:num w:numId="53" w16cid:durableId="6174880">
    <w:abstractNumId w:val="59"/>
    <w:lvlOverride w:ilvl="0">
      <w:lvl w:ilvl="0">
        <w:numFmt w:val="decimal"/>
        <w:lvlText w:val="%1."/>
        <w:lvlJc w:val="left"/>
      </w:lvl>
    </w:lvlOverride>
  </w:num>
  <w:num w:numId="54" w16cid:durableId="1149442623">
    <w:abstractNumId w:val="5"/>
    <w:lvlOverride w:ilvl="0">
      <w:lvl w:ilvl="0">
        <w:numFmt w:val="decimal"/>
        <w:lvlText w:val="%1."/>
        <w:lvlJc w:val="left"/>
      </w:lvl>
    </w:lvlOverride>
  </w:num>
  <w:num w:numId="55" w16cid:durableId="1672483275">
    <w:abstractNumId w:val="37"/>
    <w:lvlOverride w:ilvl="0">
      <w:lvl w:ilvl="0">
        <w:numFmt w:val="decimal"/>
        <w:lvlText w:val="%1."/>
        <w:lvlJc w:val="left"/>
      </w:lvl>
    </w:lvlOverride>
  </w:num>
  <w:num w:numId="56" w16cid:durableId="938366022">
    <w:abstractNumId w:val="53"/>
    <w:lvlOverride w:ilvl="0">
      <w:lvl w:ilvl="0">
        <w:numFmt w:val="decimal"/>
        <w:lvlText w:val="%1."/>
        <w:lvlJc w:val="left"/>
      </w:lvl>
    </w:lvlOverride>
  </w:num>
  <w:num w:numId="57" w16cid:durableId="1689525828">
    <w:abstractNumId w:val="35"/>
    <w:lvlOverride w:ilvl="0">
      <w:lvl w:ilvl="0">
        <w:numFmt w:val="decimal"/>
        <w:lvlText w:val="%1."/>
        <w:lvlJc w:val="left"/>
      </w:lvl>
    </w:lvlOverride>
  </w:num>
  <w:num w:numId="58" w16cid:durableId="345522223">
    <w:abstractNumId w:val="41"/>
    <w:lvlOverride w:ilvl="0">
      <w:lvl w:ilvl="0">
        <w:numFmt w:val="decimal"/>
        <w:lvlText w:val="%1."/>
        <w:lvlJc w:val="left"/>
      </w:lvl>
    </w:lvlOverride>
  </w:num>
  <w:num w:numId="59" w16cid:durableId="974800658">
    <w:abstractNumId w:val="1"/>
  </w:num>
  <w:num w:numId="60" w16cid:durableId="2010407140">
    <w:abstractNumId w:val="23"/>
  </w:num>
  <w:num w:numId="61" w16cid:durableId="1720671164">
    <w:abstractNumId w:val="2"/>
  </w:num>
  <w:num w:numId="62" w16cid:durableId="1946423227">
    <w:abstractNumId w:val="14"/>
  </w:num>
  <w:num w:numId="63" w16cid:durableId="2524025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23"/>
    <w:rsid w:val="002236BB"/>
    <w:rsid w:val="002F2323"/>
    <w:rsid w:val="003A34AA"/>
    <w:rsid w:val="005516F2"/>
    <w:rsid w:val="00622DE0"/>
    <w:rsid w:val="00803B33"/>
    <w:rsid w:val="00DD57B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85CD"/>
  <w15:chartTrackingRefBased/>
  <w15:docId w15:val="{37CF46D8-F6CD-4E41-B18E-DC97A17E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3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3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3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3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3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3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3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3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3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323"/>
    <w:rPr>
      <w:rFonts w:eastAsiaTheme="majorEastAsia" w:cstheme="majorBidi"/>
      <w:color w:val="272727" w:themeColor="text1" w:themeTint="D8"/>
    </w:rPr>
  </w:style>
  <w:style w:type="paragraph" w:styleId="Title">
    <w:name w:val="Title"/>
    <w:basedOn w:val="Normal"/>
    <w:next w:val="Normal"/>
    <w:link w:val="TitleChar"/>
    <w:uiPriority w:val="10"/>
    <w:qFormat/>
    <w:rsid w:val="002F2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3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323"/>
    <w:pPr>
      <w:spacing w:before="160"/>
      <w:jc w:val="center"/>
    </w:pPr>
    <w:rPr>
      <w:i/>
      <w:iCs/>
      <w:color w:val="404040" w:themeColor="text1" w:themeTint="BF"/>
    </w:rPr>
  </w:style>
  <w:style w:type="character" w:customStyle="1" w:styleId="QuoteChar">
    <w:name w:val="Quote Char"/>
    <w:basedOn w:val="DefaultParagraphFont"/>
    <w:link w:val="Quote"/>
    <w:uiPriority w:val="29"/>
    <w:rsid w:val="002F2323"/>
    <w:rPr>
      <w:i/>
      <w:iCs/>
      <w:color w:val="404040" w:themeColor="text1" w:themeTint="BF"/>
    </w:rPr>
  </w:style>
  <w:style w:type="paragraph" w:styleId="ListParagraph">
    <w:name w:val="List Paragraph"/>
    <w:basedOn w:val="Normal"/>
    <w:uiPriority w:val="34"/>
    <w:qFormat/>
    <w:rsid w:val="002F2323"/>
    <w:pPr>
      <w:ind w:left="720"/>
      <w:contextualSpacing/>
    </w:pPr>
  </w:style>
  <w:style w:type="character" w:styleId="IntenseEmphasis">
    <w:name w:val="Intense Emphasis"/>
    <w:basedOn w:val="DefaultParagraphFont"/>
    <w:uiPriority w:val="21"/>
    <w:qFormat/>
    <w:rsid w:val="002F2323"/>
    <w:rPr>
      <w:i/>
      <w:iCs/>
      <w:color w:val="0F4761" w:themeColor="accent1" w:themeShade="BF"/>
    </w:rPr>
  </w:style>
  <w:style w:type="paragraph" w:styleId="IntenseQuote">
    <w:name w:val="Intense Quote"/>
    <w:basedOn w:val="Normal"/>
    <w:next w:val="Normal"/>
    <w:link w:val="IntenseQuoteChar"/>
    <w:uiPriority w:val="30"/>
    <w:qFormat/>
    <w:rsid w:val="002F2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323"/>
    <w:rPr>
      <w:i/>
      <w:iCs/>
      <w:color w:val="0F4761" w:themeColor="accent1" w:themeShade="BF"/>
    </w:rPr>
  </w:style>
  <w:style w:type="character" w:styleId="IntenseReference">
    <w:name w:val="Intense Reference"/>
    <w:basedOn w:val="DefaultParagraphFont"/>
    <w:uiPriority w:val="32"/>
    <w:qFormat/>
    <w:rsid w:val="002F23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87312">
      <w:bodyDiv w:val="1"/>
      <w:marLeft w:val="0"/>
      <w:marRight w:val="0"/>
      <w:marTop w:val="0"/>
      <w:marBottom w:val="0"/>
      <w:divBdr>
        <w:top w:val="none" w:sz="0" w:space="0" w:color="auto"/>
        <w:left w:val="none" w:sz="0" w:space="0" w:color="auto"/>
        <w:bottom w:val="none" w:sz="0" w:space="0" w:color="auto"/>
        <w:right w:val="none" w:sz="0" w:space="0" w:color="auto"/>
      </w:divBdr>
    </w:div>
    <w:div w:id="869218369">
      <w:bodyDiv w:val="1"/>
      <w:marLeft w:val="0"/>
      <w:marRight w:val="0"/>
      <w:marTop w:val="0"/>
      <w:marBottom w:val="0"/>
      <w:divBdr>
        <w:top w:val="none" w:sz="0" w:space="0" w:color="auto"/>
        <w:left w:val="none" w:sz="0" w:space="0" w:color="auto"/>
        <w:bottom w:val="none" w:sz="0" w:space="0" w:color="auto"/>
        <w:right w:val="none" w:sz="0" w:space="0" w:color="auto"/>
      </w:divBdr>
    </w:div>
    <w:div w:id="18529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2321</Words>
  <Characters>13232</Characters>
  <Application>Microsoft Office Word</Application>
  <DocSecurity>0</DocSecurity>
  <Lines>110</Lines>
  <Paragraphs>31</Paragraphs>
  <ScaleCrop>false</ScaleCrop>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ΣΕΛΜΑ ΚΑΛΑΝΔΡΙΑ</dc:creator>
  <cp:keywords/>
  <dc:description/>
  <cp:lastModifiedBy>ΝΙΚΟΛΑΟΣ ΧΑΝΤΖΗΓΙΑΝΝΗΣ</cp:lastModifiedBy>
  <cp:revision>4</cp:revision>
  <dcterms:created xsi:type="dcterms:W3CDTF">2025-03-25T19:18:00Z</dcterms:created>
  <dcterms:modified xsi:type="dcterms:W3CDTF">2025-03-26T10:31:00Z</dcterms:modified>
</cp:coreProperties>
</file>